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1D" w:rsidRDefault="0011155F" w:rsidP="005725F4">
      <w:pPr>
        <w:spacing w:line="531" w:lineRule="exact"/>
        <w:ind w:left="117"/>
        <w:jc w:val="center"/>
        <w:rPr>
          <w:rFonts w:ascii="Times New Roman" w:eastAsia="標楷體" w:hAnsi="Times New Roman" w:cs="Times New Roman"/>
          <w:sz w:val="32"/>
        </w:rPr>
      </w:pPr>
      <w:bookmarkStart w:id="0" w:name="_GoBack"/>
      <w:bookmarkEnd w:id="0"/>
      <w:r w:rsidRPr="00A82CFD">
        <w:rPr>
          <w:rFonts w:ascii="Times New Roman" w:eastAsia="標楷體" w:hAnsi="Times New Roman" w:cs="Times New Roman"/>
          <w:sz w:val="32"/>
        </w:rPr>
        <w:t>國立中興大學</w:t>
      </w:r>
      <w:r>
        <w:rPr>
          <w:rFonts w:ascii="Times New Roman" w:eastAsia="標楷體" w:hAnsi="Times New Roman" w:cs="Times New Roman" w:hint="eastAsia"/>
          <w:sz w:val="32"/>
        </w:rPr>
        <w:t>電機資訊</w:t>
      </w:r>
      <w:r w:rsidRPr="00A82CFD">
        <w:rPr>
          <w:rFonts w:ascii="Times New Roman" w:eastAsia="標楷體" w:hAnsi="Times New Roman" w:cs="Times New Roman"/>
          <w:sz w:val="32"/>
        </w:rPr>
        <w:t>學院教師評鑑辦法</w:t>
      </w:r>
    </w:p>
    <w:p w:rsidR="005725F4" w:rsidRDefault="005725F4" w:rsidP="00266940">
      <w:pPr>
        <w:spacing w:line="0" w:lineRule="atLeast"/>
        <w:ind w:left="119"/>
        <w:jc w:val="right"/>
        <w:rPr>
          <w:rFonts w:ascii="Times New Roman" w:eastAsia="標楷體" w:hAnsi="Times New Roman" w:cs="Times New Roman"/>
          <w:sz w:val="20"/>
        </w:rPr>
      </w:pPr>
      <w:r w:rsidRPr="005725F4">
        <w:rPr>
          <w:rFonts w:ascii="Times New Roman" w:eastAsia="標楷體" w:hAnsi="Times New Roman" w:cs="Times New Roman" w:hint="eastAsia"/>
          <w:sz w:val="20"/>
        </w:rPr>
        <w:t>107</w:t>
      </w:r>
      <w:r>
        <w:rPr>
          <w:rFonts w:ascii="Times New Roman" w:eastAsia="標楷體" w:hAnsi="Times New Roman" w:cs="Times New Roman" w:hint="eastAsia"/>
          <w:sz w:val="20"/>
        </w:rPr>
        <w:t>年</w:t>
      </w:r>
      <w:r w:rsidR="000841F2">
        <w:rPr>
          <w:rFonts w:ascii="Times New Roman" w:eastAsia="標楷體" w:hAnsi="Times New Roman" w:cs="Times New Roman" w:hint="eastAsia"/>
          <w:sz w:val="20"/>
        </w:rPr>
        <w:t>10</w:t>
      </w:r>
      <w:r w:rsidR="000841F2">
        <w:rPr>
          <w:rFonts w:ascii="Times New Roman" w:eastAsia="標楷體" w:hAnsi="Times New Roman" w:cs="Times New Roman" w:hint="eastAsia"/>
          <w:sz w:val="20"/>
        </w:rPr>
        <w:t>月</w:t>
      </w:r>
      <w:r w:rsidR="000841F2">
        <w:rPr>
          <w:rFonts w:ascii="Times New Roman" w:eastAsia="標楷體" w:hAnsi="Times New Roman" w:cs="Times New Roman" w:hint="eastAsia"/>
          <w:sz w:val="20"/>
        </w:rPr>
        <w:t>25</w:t>
      </w:r>
      <w:r>
        <w:rPr>
          <w:rFonts w:ascii="Times New Roman" w:eastAsia="標楷體" w:hAnsi="Times New Roman" w:cs="Times New Roman" w:hint="eastAsia"/>
          <w:sz w:val="20"/>
        </w:rPr>
        <w:t>日院務會議</w:t>
      </w:r>
      <w:r w:rsidR="000841F2">
        <w:rPr>
          <w:rFonts w:ascii="Times New Roman" w:eastAsia="標楷體" w:hAnsi="Times New Roman" w:cs="Times New Roman" w:hint="eastAsia"/>
          <w:sz w:val="20"/>
        </w:rPr>
        <w:t>訂定</w:t>
      </w:r>
      <w:r>
        <w:rPr>
          <w:rFonts w:ascii="Times New Roman" w:eastAsia="標楷體" w:hAnsi="Times New Roman" w:cs="Times New Roman" w:hint="eastAsia"/>
          <w:sz w:val="20"/>
        </w:rPr>
        <w:t>通過</w:t>
      </w:r>
    </w:p>
    <w:p w:rsidR="00226A05" w:rsidRDefault="00226A05" w:rsidP="00266940">
      <w:pPr>
        <w:wordWrap w:val="0"/>
        <w:spacing w:line="0" w:lineRule="atLeast"/>
        <w:ind w:left="119"/>
        <w:jc w:val="right"/>
        <w:rPr>
          <w:rFonts w:ascii="Times New Roman" w:eastAsia="標楷體" w:hAnsi="Times New Roman" w:cs="Times New Roman"/>
          <w:sz w:val="20"/>
        </w:rPr>
      </w:pPr>
      <w:r>
        <w:rPr>
          <w:rFonts w:ascii="Times New Roman" w:eastAsia="標楷體" w:hAnsi="Times New Roman" w:cs="Times New Roman" w:hint="eastAsia"/>
          <w:sz w:val="20"/>
        </w:rPr>
        <w:t>108</w:t>
      </w:r>
      <w:r>
        <w:rPr>
          <w:rFonts w:ascii="Times New Roman" w:eastAsia="標楷體" w:hAnsi="Times New Roman" w:cs="Times New Roman" w:hint="eastAsia"/>
          <w:sz w:val="20"/>
        </w:rPr>
        <w:t>年</w:t>
      </w:r>
      <w:r w:rsidR="00495EBA">
        <w:rPr>
          <w:rFonts w:ascii="Times New Roman" w:eastAsia="標楷體" w:hAnsi="Times New Roman" w:cs="Times New Roman" w:hint="eastAsia"/>
          <w:sz w:val="20"/>
        </w:rPr>
        <w:t>3</w:t>
      </w:r>
      <w:r>
        <w:rPr>
          <w:rFonts w:ascii="Times New Roman" w:eastAsia="標楷體" w:hAnsi="Times New Roman" w:cs="Times New Roman" w:hint="eastAsia"/>
          <w:sz w:val="20"/>
        </w:rPr>
        <w:t>月</w:t>
      </w:r>
      <w:r w:rsidR="00495EBA">
        <w:rPr>
          <w:rFonts w:ascii="Times New Roman" w:eastAsia="標楷體" w:hAnsi="Times New Roman" w:cs="Times New Roman" w:hint="eastAsia"/>
          <w:sz w:val="20"/>
        </w:rPr>
        <w:t>7</w:t>
      </w:r>
      <w:r>
        <w:rPr>
          <w:rFonts w:ascii="Times New Roman" w:eastAsia="標楷體" w:hAnsi="Times New Roman" w:cs="Times New Roman" w:hint="eastAsia"/>
          <w:sz w:val="20"/>
        </w:rPr>
        <w:t>日院務會議</w:t>
      </w:r>
      <w:r w:rsidR="001016B5">
        <w:rPr>
          <w:rFonts w:ascii="Times New Roman" w:eastAsia="標楷體" w:hAnsi="Times New Roman" w:cs="Times New Roman" w:hint="eastAsia"/>
          <w:sz w:val="20"/>
        </w:rPr>
        <w:t>修正（第</w:t>
      </w:r>
      <w:r w:rsidR="001016B5">
        <w:rPr>
          <w:rFonts w:ascii="Times New Roman" w:eastAsia="標楷體" w:hAnsi="Times New Roman" w:cs="Times New Roman" w:hint="eastAsia"/>
          <w:sz w:val="20"/>
        </w:rPr>
        <w:t>2</w:t>
      </w:r>
      <w:r w:rsidR="001016B5">
        <w:rPr>
          <w:rFonts w:ascii="Times New Roman" w:eastAsia="標楷體" w:hAnsi="Times New Roman" w:cs="Times New Roman" w:hint="eastAsia"/>
          <w:sz w:val="20"/>
        </w:rPr>
        <w:t>、</w:t>
      </w:r>
      <w:r w:rsidR="001016B5">
        <w:rPr>
          <w:rFonts w:ascii="Times New Roman" w:eastAsia="標楷體" w:hAnsi="Times New Roman" w:cs="Times New Roman" w:hint="eastAsia"/>
          <w:sz w:val="20"/>
        </w:rPr>
        <w:t>10</w:t>
      </w:r>
      <w:r w:rsidR="001016B5">
        <w:rPr>
          <w:rFonts w:ascii="Times New Roman" w:eastAsia="標楷體" w:hAnsi="Times New Roman" w:cs="Times New Roman" w:hint="eastAsia"/>
          <w:sz w:val="20"/>
        </w:rPr>
        <w:t>條）</w:t>
      </w:r>
    </w:p>
    <w:p w:rsidR="0076575C" w:rsidRDefault="0076575C" w:rsidP="0076575C">
      <w:pPr>
        <w:wordWrap w:val="0"/>
        <w:spacing w:line="0" w:lineRule="atLeast"/>
        <w:ind w:left="119"/>
        <w:jc w:val="right"/>
        <w:rPr>
          <w:rFonts w:ascii="Times New Roman" w:eastAsia="標楷體" w:hAnsi="Times New Roman" w:cs="Times New Roman"/>
          <w:sz w:val="20"/>
        </w:rPr>
      </w:pPr>
      <w:r>
        <w:rPr>
          <w:rFonts w:ascii="Times New Roman" w:eastAsia="標楷體" w:hAnsi="Times New Roman" w:cs="Times New Roman" w:hint="eastAsia"/>
          <w:sz w:val="20"/>
        </w:rPr>
        <w:t>109</w:t>
      </w:r>
      <w:r>
        <w:rPr>
          <w:rFonts w:ascii="Times New Roman" w:eastAsia="標楷體" w:hAnsi="Times New Roman" w:cs="Times New Roman" w:hint="eastAsia"/>
          <w:sz w:val="20"/>
        </w:rPr>
        <w:t>年</w:t>
      </w:r>
      <w:r w:rsidR="006A4942">
        <w:rPr>
          <w:rFonts w:ascii="Times New Roman" w:eastAsia="標楷體" w:hAnsi="Times New Roman" w:cs="Times New Roman" w:hint="eastAsia"/>
          <w:sz w:val="20"/>
        </w:rPr>
        <w:t>3</w:t>
      </w:r>
      <w:r>
        <w:rPr>
          <w:rFonts w:ascii="Times New Roman" w:eastAsia="標楷體" w:hAnsi="Times New Roman" w:cs="Times New Roman" w:hint="eastAsia"/>
          <w:sz w:val="20"/>
        </w:rPr>
        <w:t>月</w:t>
      </w:r>
      <w:r w:rsidR="006A4942">
        <w:rPr>
          <w:rFonts w:ascii="Times New Roman" w:eastAsia="標楷體" w:hAnsi="Times New Roman" w:cs="Times New Roman" w:hint="eastAsia"/>
          <w:sz w:val="20"/>
        </w:rPr>
        <w:t>19</w:t>
      </w:r>
      <w:r>
        <w:rPr>
          <w:rFonts w:ascii="Times New Roman" w:eastAsia="標楷體" w:hAnsi="Times New Roman" w:cs="Times New Roman" w:hint="eastAsia"/>
          <w:sz w:val="20"/>
        </w:rPr>
        <w:t>日院務會議修正（</w:t>
      </w:r>
      <w:r w:rsidR="00FC1250">
        <w:rPr>
          <w:rFonts w:ascii="Times New Roman" w:eastAsia="標楷體" w:hAnsi="Times New Roman" w:cs="Times New Roman" w:hint="eastAsia"/>
          <w:sz w:val="20"/>
        </w:rPr>
        <w:t>第</w:t>
      </w:r>
      <w:r w:rsidR="00FC1250">
        <w:rPr>
          <w:rFonts w:ascii="Times New Roman" w:eastAsia="標楷體" w:hAnsi="Times New Roman" w:cs="Times New Roman" w:hint="eastAsia"/>
          <w:sz w:val="20"/>
        </w:rPr>
        <w:t>2</w:t>
      </w:r>
      <w:r w:rsidR="00FC1250">
        <w:rPr>
          <w:rFonts w:ascii="Times New Roman" w:eastAsia="標楷體" w:hAnsi="Times New Roman" w:cs="Times New Roman" w:hint="eastAsia"/>
          <w:sz w:val="20"/>
        </w:rPr>
        <w:t>條</w:t>
      </w:r>
      <w:r>
        <w:rPr>
          <w:rFonts w:ascii="Times New Roman" w:eastAsia="標楷體" w:hAnsi="Times New Roman" w:cs="Times New Roman" w:hint="eastAsia"/>
          <w:sz w:val="20"/>
        </w:rPr>
        <w:t>）</w:t>
      </w:r>
    </w:p>
    <w:p w:rsidR="003D5A13" w:rsidRDefault="003D5A13" w:rsidP="003D5A13">
      <w:pPr>
        <w:wordWrap w:val="0"/>
        <w:spacing w:line="0" w:lineRule="atLeast"/>
        <w:ind w:left="119"/>
        <w:jc w:val="right"/>
        <w:rPr>
          <w:rFonts w:ascii="Times New Roman" w:eastAsia="標楷體" w:hAnsi="Times New Roman" w:cs="Times New Roman"/>
          <w:sz w:val="20"/>
        </w:rPr>
      </w:pPr>
      <w:r>
        <w:rPr>
          <w:rFonts w:ascii="Times New Roman" w:eastAsia="標楷體" w:hAnsi="Times New Roman" w:cs="Times New Roman" w:hint="eastAsia"/>
          <w:sz w:val="20"/>
        </w:rPr>
        <w:t>109</w:t>
      </w:r>
      <w:r>
        <w:rPr>
          <w:rFonts w:ascii="Times New Roman" w:eastAsia="標楷體" w:hAnsi="Times New Roman" w:cs="Times New Roman" w:hint="eastAsia"/>
          <w:sz w:val="20"/>
        </w:rPr>
        <w:t>年</w:t>
      </w:r>
      <w:r w:rsidR="00EA43DC">
        <w:rPr>
          <w:rFonts w:ascii="Times New Roman" w:eastAsia="標楷體" w:hAnsi="Times New Roman" w:cs="Times New Roman" w:hint="eastAsia"/>
          <w:sz w:val="20"/>
        </w:rPr>
        <w:t>10</w:t>
      </w:r>
      <w:r>
        <w:rPr>
          <w:rFonts w:ascii="Times New Roman" w:eastAsia="標楷體" w:hAnsi="Times New Roman" w:cs="Times New Roman" w:hint="eastAsia"/>
          <w:sz w:val="20"/>
        </w:rPr>
        <w:t>月</w:t>
      </w:r>
      <w:r w:rsidR="00EA43DC">
        <w:rPr>
          <w:rFonts w:ascii="Times New Roman" w:eastAsia="標楷體" w:hAnsi="Times New Roman" w:cs="Times New Roman" w:hint="eastAsia"/>
          <w:sz w:val="20"/>
        </w:rPr>
        <w:t>8</w:t>
      </w:r>
      <w:r>
        <w:rPr>
          <w:rFonts w:ascii="Times New Roman" w:eastAsia="標楷體" w:hAnsi="Times New Roman" w:cs="Times New Roman" w:hint="eastAsia"/>
          <w:sz w:val="20"/>
        </w:rPr>
        <w:t>日院務會議修正</w:t>
      </w:r>
      <w:r w:rsidR="00EA43DC">
        <w:rPr>
          <w:rFonts w:ascii="Times New Roman" w:eastAsia="標楷體" w:hAnsi="Times New Roman" w:cs="Times New Roman" w:hint="eastAsia"/>
          <w:sz w:val="20"/>
        </w:rPr>
        <w:t>（第</w:t>
      </w:r>
      <w:r w:rsidR="00EA43DC">
        <w:rPr>
          <w:rFonts w:ascii="Times New Roman" w:eastAsia="標楷體" w:hAnsi="Times New Roman" w:cs="Times New Roman" w:hint="eastAsia"/>
          <w:sz w:val="20"/>
        </w:rPr>
        <w:t>5</w:t>
      </w:r>
      <w:r w:rsidR="00EA43DC">
        <w:rPr>
          <w:rFonts w:ascii="Times New Roman" w:eastAsia="標楷體" w:hAnsi="Times New Roman" w:cs="Times New Roman" w:hint="eastAsia"/>
          <w:sz w:val="20"/>
        </w:rPr>
        <w:t>條）</w:t>
      </w:r>
    </w:p>
    <w:p w:rsidR="0076575C" w:rsidRDefault="0076575C" w:rsidP="007E175E">
      <w:pPr>
        <w:spacing w:line="0" w:lineRule="atLeast"/>
        <w:ind w:left="119"/>
        <w:jc w:val="right"/>
        <w:rPr>
          <w:rFonts w:ascii="Times New Roman" w:eastAsia="標楷體" w:hAnsi="Times New Roman" w:cs="Times New Roman"/>
          <w:sz w:val="20"/>
        </w:rPr>
      </w:pPr>
    </w:p>
    <w:p w:rsidR="00FA2A17" w:rsidRDefault="00FA2A17" w:rsidP="00FA2A17">
      <w:pPr>
        <w:spacing w:line="0" w:lineRule="atLeast"/>
        <w:ind w:left="119"/>
        <w:jc w:val="right"/>
        <w:rPr>
          <w:rFonts w:ascii="Times New Roman" w:eastAsia="標楷體" w:hAnsi="Times New Roman" w:cs="Times New Roman"/>
          <w:sz w:val="20"/>
        </w:rPr>
      </w:pPr>
    </w:p>
    <w:p w:rsidR="0011155F" w:rsidRPr="00FA2A17" w:rsidRDefault="0011155F" w:rsidP="00C97B75">
      <w:pPr>
        <w:pStyle w:val="a3"/>
        <w:numPr>
          <w:ilvl w:val="0"/>
          <w:numId w:val="9"/>
        </w:numPr>
        <w:ind w:left="1200" w:hangingChars="500" w:hanging="1200"/>
        <w:jc w:val="both"/>
        <w:rPr>
          <w:rFonts w:ascii="Times New Roman" w:eastAsia="標楷體" w:hAnsi="Times New Roman" w:cs="Times New Roman"/>
        </w:rPr>
      </w:pPr>
      <w:r w:rsidRPr="00FA2A17">
        <w:rPr>
          <w:rFonts w:ascii="Times New Roman" w:eastAsia="標楷體" w:hAnsi="Times New Roman" w:cs="Times New Roman"/>
        </w:rPr>
        <w:t>國立中興大學電機資訊學院（以下簡稱本院）為提升教師教學、研究與服務之績效，特依「國立中興大學教師評鑑準則」訂定電機資訊學院教師評鑑辦法（以下簡稱本辦法）。</w:t>
      </w:r>
    </w:p>
    <w:p w:rsidR="0011155F" w:rsidRPr="003D5A13" w:rsidRDefault="0011155F" w:rsidP="00C97B75">
      <w:pPr>
        <w:pStyle w:val="a3"/>
        <w:numPr>
          <w:ilvl w:val="0"/>
          <w:numId w:val="9"/>
        </w:numPr>
        <w:ind w:left="1200" w:hangingChars="500" w:hanging="1200"/>
        <w:jc w:val="both"/>
        <w:rPr>
          <w:rFonts w:ascii="Times New Roman" w:eastAsia="標楷體" w:hAnsi="Times New Roman" w:cs="Times New Roman"/>
        </w:rPr>
      </w:pPr>
      <w:r w:rsidRPr="003D5A13">
        <w:rPr>
          <w:rFonts w:ascii="Times New Roman" w:eastAsia="標楷體" w:hAnsi="Times New Roman" w:cs="Times New Roman"/>
        </w:rPr>
        <w:t>本院編制內之各級專任教師均應依照</w:t>
      </w:r>
      <w:r w:rsidR="009559F1" w:rsidRPr="003D5A13">
        <w:rPr>
          <w:rFonts w:ascii="Times New Roman" w:eastAsia="標楷體" w:hAnsi="Times New Roman" w:cs="Times New Roman"/>
        </w:rPr>
        <w:t>本辦法每五年接受評鑑至少</w:t>
      </w:r>
      <w:r w:rsidR="009559F1" w:rsidRPr="003D5A13">
        <w:rPr>
          <w:rFonts w:ascii="Times New Roman" w:eastAsia="標楷體" w:hAnsi="Times New Roman" w:cs="Times New Roman" w:hint="eastAsia"/>
        </w:rPr>
        <w:t>一</w:t>
      </w:r>
      <w:r w:rsidR="003D0DFC" w:rsidRPr="003D5A13">
        <w:rPr>
          <w:rFonts w:ascii="Times New Roman" w:eastAsia="標楷體" w:hAnsi="Times New Roman" w:cs="Times New Roman"/>
        </w:rPr>
        <w:t>次；新聘教師於到校滿三年開始接受評鑑。各教師每年受評鑑次數以</w:t>
      </w:r>
      <w:r w:rsidR="003D0DFC" w:rsidRPr="003D5A13">
        <w:rPr>
          <w:rFonts w:ascii="Times New Roman" w:eastAsia="標楷體" w:hAnsi="Times New Roman" w:cs="Times New Roman" w:hint="eastAsia"/>
        </w:rPr>
        <w:t>一</w:t>
      </w:r>
      <w:r w:rsidRPr="003D5A13">
        <w:rPr>
          <w:rFonts w:ascii="Times New Roman" w:eastAsia="標楷體" w:hAnsi="Times New Roman" w:cs="Times New Roman"/>
        </w:rPr>
        <w:t>次為限。評鑑未通過者，下一年須接受「再評鑑」，「再評鑑」仍未達通過標準者，下一年應繼續接受「再評鑑」，並以二次為原則。未依規定接受評鑑者視同</w:t>
      </w:r>
      <w:r w:rsidR="009559F1" w:rsidRPr="003D5A13">
        <w:rPr>
          <w:rFonts w:ascii="Times New Roman" w:eastAsia="標楷體" w:hAnsi="Times New Roman" w:cs="Times New Roman"/>
        </w:rPr>
        <w:t>當年度未通過評鑑標準，通過評鑑</w:t>
      </w:r>
      <w:r w:rsidR="00FC1250" w:rsidRPr="003D5A13">
        <w:rPr>
          <w:rFonts w:ascii="Times New Roman" w:eastAsia="標楷體" w:hAnsi="Times New Roman" w:cs="Times New Roman" w:hint="eastAsia"/>
        </w:rPr>
        <w:t>(</w:t>
      </w:r>
      <w:r w:rsidR="00FC1250" w:rsidRPr="003D5A13">
        <w:rPr>
          <w:rFonts w:ascii="Times New Roman" w:eastAsia="標楷體" w:hAnsi="Times New Roman" w:cs="Times New Roman" w:hint="eastAsia"/>
        </w:rPr>
        <w:t>再評鑑</w:t>
      </w:r>
      <w:r w:rsidR="00FC1250" w:rsidRPr="003D5A13">
        <w:rPr>
          <w:rFonts w:ascii="Times New Roman" w:eastAsia="標楷體" w:hAnsi="Times New Roman" w:cs="Times New Roman" w:hint="eastAsia"/>
        </w:rPr>
        <w:t>)</w:t>
      </w:r>
      <w:r w:rsidR="009559F1" w:rsidRPr="003D5A13">
        <w:rPr>
          <w:rFonts w:ascii="Times New Roman" w:eastAsia="標楷體" w:hAnsi="Times New Roman" w:cs="Times New Roman"/>
        </w:rPr>
        <w:t>標準者，恢復每滿五年接受評鑑至少</w:t>
      </w:r>
      <w:r w:rsidR="009559F1" w:rsidRPr="003D5A13">
        <w:rPr>
          <w:rFonts w:ascii="Times New Roman" w:eastAsia="標楷體" w:hAnsi="Times New Roman" w:cs="Times New Roman" w:hint="eastAsia"/>
        </w:rPr>
        <w:t>一</w:t>
      </w:r>
      <w:r w:rsidRPr="003D5A13">
        <w:rPr>
          <w:rFonts w:ascii="Times New Roman" w:eastAsia="標楷體" w:hAnsi="Times New Roman" w:cs="Times New Roman"/>
        </w:rPr>
        <w:t>次。但受評鑑教師有下列情形之一者，得免接受評鑑：</w:t>
      </w:r>
    </w:p>
    <w:p w:rsidR="0011155F" w:rsidRPr="00FA2A17" w:rsidRDefault="0011155F" w:rsidP="00C97B75">
      <w:pPr>
        <w:pStyle w:val="a4"/>
        <w:numPr>
          <w:ilvl w:val="0"/>
          <w:numId w:val="10"/>
        </w:numPr>
        <w:ind w:left="1701" w:hanging="510"/>
        <w:jc w:val="both"/>
        <w:rPr>
          <w:rFonts w:ascii="Times New Roman" w:eastAsia="標楷體" w:hAnsi="Times New Roman" w:cs="Times New Roman"/>
          <w:sz w:val="24"/>
          <w:szCs w:val="24"/>
        </w:rPr>
      </w:pPr>
      <w:r w:rsidRPr="00FA2A17">
        <w:rPr>
          <w:rFonts w:ascii="Times New Roman" w:eastAsia="標楷體" w:hAnsi="Times New Roman" w:cs="Times New Roman"/>
          <w:sz w:val="24"/>
          <w:szCs w:val="24"/>
        </w:rPr>
        <w:t>年滿六十歲者。</w:t>
      </w:r>
    </w:p>
    <w:p w:rsidR="0011155F" w:rsidRPr="00FA2A17" w:rsidRDefault="0011155F" w:rsidP="00C97B75">
      <w:pPr>
        <w:pStyle w:val="a4"/>
        <w:numPr>
          <w:ilvl w:val="0"/>
          <w:numId w:val="10"/>
        </w:numPr>
        <w:ind w:left="1701" w:hanging="510"/>
        <w:jc w:val="both"/>
        <w:rPr>
          <w:rFonts w:ascii="Times New Roman" w:eastAsia="標楷體" w:hAnsi="Times New Roman" w:cs="Times New Roman"/>
          <w:sz w:val="24"/>
          <w:szCs w:val="24"/>
        </w:rPr>
      </w:pPr>
      <w:r w:rsidRPr="00FA2A17">
        <w:rPr>
          <w:rFonts w:ascii="Times New Roman" w:eastAsia="標楷體" w:hAnsi="Times New Roman" w:cs="Times New Roman"/>
          <w:sz w:val="24"/>
          <w:szCs w:val="24"/>
        </w:rPr>
        <w:t>曾獲選為國家學術研究院院士者。</w:t>
      </w:r>
    </w:p>
    <w:p w:rsidR="0011155F" w:rsidRPr="00FA2A17" w:rsidRDefault="0011155F" w:rsidP="00C97B75">
      <w:pPr>
        <w:pStyle w:val="a4"/>
        <w:numPr>
          <w:ilvl w:val="0"/>
          <w:numId w:val="10"/>
        </w:numPr>
        <w:ind w:left="1701" w:hanging="510"/>
        <w:jc w:val="both"/>
        <w:rPr>
          <w:rFonts w:ascii="Times New Roman" w:eastAsia="標楷體" w:hAnsi="Times New Roman" w:cs="Times New Roman"/>
          <w:sz w:val="24"/>
          <w:szCs w:val="24"/>
        </w:rPr>
      </w:pPr>
      <w:r w:rsidRPr="00FA2A17">
        <w:rPr>
          <w:rFonts w:ascii="Times New Roman" w:eastAsia="標楷體" w:hAnsi="Times New Roman" w:cs="Times New Roman"/>
          <w:sz w:val="24"/>
          <w:szCs w:val="24"/>
        </w:rPr>
        <w:t>曾獲頒教育部學術獎、教育部特優教師獎，或更高之國內外榮譽經校教師評審委員會認定者。</w:t>
      </w:r>
    </w:p>
    <w:p w:rsidR="0011155F" w:rsidRPr="00FA2A17" w:rsidRDefault="0011155F" w:rsidP="00C97B75">
      <w:pPr>
        <w:pStyle w:val="a4"/>
        <w:numPr>
          <w:ilvl w:val="0"/>
          <w:numId w:val="10"/>
        </w:numPr>
        <w:ind w:left="1701" w:hanging="510"/>
        <w:jc w:val="both"/>
        <w:rPr>
          <w:rFonts w:ascii="Times New Roman" w:eastAsia="標楷體" w:hAnsi="Times New Roman" w:cs="Times New Roman"/>
          <w:sz w:val="24"/>
          <w:szCs w:val="24"/>
        </w:rPr>
      </w:pPr>
      <w:r w:rsidRPr="00FA2A17">
        <w:rPr>
          <w:rFonts w:ascii="Times New Roman" w:eastAsia="標楷體" w:hAnsi="Times New Roman" w:cs="Times New Roman"/>
          <w:sz w:val="24"/>
          <w:szCs w:val="24"/>
        </w:rPr>
        <w:t>曾擔任國內外著名學術講座之教授者。</w:t>
      </w:r>
    </w:p>
    <w:p w:rsidR="0011155F" w:rsidRPr="00FA2A17" w:rsidRDefault="0011155F" w:rsidP="00C97B75">
      <w:pPr>
        <w:pStyle w:val="a4"/>
        <w:numPr>
          <w:ilvl w:val="0"/>
          <w:numId w:val="10"/>
        </w:numPr>
        <w:ind w:left="1701" w:hanging="510"/>
        <w:jc w:val="both"/>
        <w:rPr>
          <w:rFonts w:ascii="Times New Roman" w:eastAsia="標楷體" w:hAnsi="Times New Roman" w:cs="Times New Roman"/>
          <w:sz w:val="24"/>
          <w:szCs w:val="24"/>
        </w:rPr>
      </w:pPr>
      <w:r w:rsidRPr="00FA2A17">
        <w:rPr>
          <w:rFonts w:ascii="Times New Roman" w:eastAsia="標楷體" w:hAnsi="Times New Roman" w:cs="Times New Roman"/>
          <w:sz w:val="24"/>
          <w:szCs w:val="24"/>
        </w:rPr>
        <w:t>曾獲頒科技部傑出研究獎勵者。</w:t>
      </w:r>
    </w:p>
    <w:p w:rsidR="0011155F" w:rsidRPr="00FA2A17" w:rsidRDefault="0011155F" w:rsidP="00C97B75">
      <w:pPr>
        <w:pStyle w:val="a4"/>
        <w:numPr>
          <w:ilvl w:val="0"/>
          <w:numId w:val="10"/>
        </w:numPr>
        <w:ind w:left="1701" w:hanging="510"/>
        <w:jc w:val="both"/>
        <w:rPr>
          <w:rFonts w:ascii="Times New Roman" w:eastAsia="標楷體" w:hAnsi="Times New Roman" w:cs="Times New Roman"/>
          <w:sz w:val="24"/>
          <w:szCs w:val="24"/>
        </w:rPr>
      </w:pPr>
      <w:r w:rsidRPr="00FA2A17">
        <w:rPr>
          <w:rFonts w:ascii="Times New Roman" w:eastAsia="標楷體" w:hAnsi="Times New Roman" w:cs="Times New Roman"/>
          <w:sz w:val="24"/>
          <w:szCs w:val="24"/>
        </w:rPr>
        <w:t>五年內曾獲頒本校講座教授、特聘教授者。</w:t>
      </w:r>
    </w:p>
    <w:p w:rsidR="0031058D" w:rsidRPr="00FA2A17" w:rsidRDefault="0031058D" w:rsidP="00C97B75">
      <w:pPr>
        <w:pStyle w:val="a4"/>
        <w:numPr>
          <w:ilvl w:val="0"/>
          <w:numId w:val="10"/>
        </w:numPr>
        <w:ind w:left="1701" w:hanging="510"/>
        <w:jc w:val="both"/>
        <w:rPr>
          <w:rFonts w:ascii="Times New Roman" w:eastAsia="標楷體" w:hAnsi="Times New Roman" w:cs="Times New Roman"/>
          <w:sz w:val="24"/>
          <w:szCs w:val="24"/>
        </w:rPr>
      </w:pPr>
      <w:r w:rsidRPr="00FA2A17">
        <w:rPr>
          <w:rFonts w:ascii="Times New Roman" w:eastAsia="標楷體" w:hAnsi="Times New Roman" w:cs="Times New Roman" w:hint="eastAsia"/>
          <w:sz w:val="24"/>
          <w:szCs w:val="24"/>
        </w:rPr>
        <w:t>依本校特聘教授設置辦法規定獲終身特聘教授榮銜者。</w:t>
      </w:r>
    </w:p>
    <w:p w:rsidR="0031058D" w:rsidRPr="00FA2A17" w:rsidRDefault="0031058D" w:rsidP="00C97B75">
      <w:pPr>
        <w:pStyle w:val="a4"/>
        <w:numPr>
          <w:ilvl w:val="0"/>
          <w:numId w:val="10"/>
        </w:numPr>
        <w:ind w:left="1701" w:hanging="510"/>
        <w:jc w:val="both"/>
        <w:rPr>
          <w:rFonts w:ascii="Times New Roman" w:eastAsia="標楷體" w:hAnsi="Times New Roman" w:cs="Times New Roman"/>
          <w:sz w:val="24"/>
          <w:szCs w:val="24"/>
        </w:rPr>
      </w:pPr>
      <w:r w:rsidRPr="00FA2A17">
        <w:rPr>
          <w:rFonts w:ascii="Times New Roman" w:eastAsia="標楷體" w:hAnsi="Times New Roman" w:cs="Times New Roman" w:hint="eastAsia"/>
          <w:sz w:val="24"/>
          <w:szCs w:val="24"/>
        </w:rPr>
        <w:t>本校講座教授、特聘教授自獲頒年起算五年內者。</w:t>
      </w:r>
    </w:p>
    <w:p w:rsidR="003B6D1D" w:rsidRPr="00FA2A17" w:rsidRDefault="0011155F" w:rsidP="00171523">
      <w:pPr>
        <w:ind w:left="1191"/>
        <w:jc w:val="both"/>
        <w:rPr>
          <w:rFonts w:ascii="Times New Roman" w:eastAsia="標楷體" w:hAnsi="Times New Roman" w:cs="Times New Roman"/>
          <w:sz w:val="24"/>
          <w:szCs w:val="24"/>
        </w:rPr>
      </w:pPr>
      <w:r w:rsidRPr="00FA2A17">
        <w:rPr>
          <w:rFonts w:ascii="Times New Roman" w:eastAsia="標楷體" w:hAnsi="Times New Roman" w:cs="Times New Roman"/>
          <w:sz w:val="24"/>
          <w:szCs w:val="24"/>
        </w:rPr>
        <w:t>教師因休假</w:t>
      </w:r>
      <w:r w:rsidR="0081651D" w:rsidRPr="00FA2A17">
        <w:rPr>
          <w:rFonts w:ascii="Times New Roman" w:eastAsia="標楷體" w:hAnsi="Times New Roman" w:cs="Times New Roman" w:hint="eastAsia"/>
          <w:sz w:val="24"/>
          <w:szCs w:val="24"/>
        </w:rPr>
        <w:t>研究</w:t>
      </w:r>
      <w:r w:rsidRPr="00FA2A17">
        <w:rPr>
          <w:rFonts w:ascii="Times New Roman" w:eastAsia="標楷體" w:hAnsi="Times New Roman" w:cs="Times New Roman"/>
          <w:sz w:val="24"/>
          <w:szCs w:val="24"/>
        </w:rPr>
        <w:t>、出國進修研究、留職停薪、</w:t>
      </w:r>
      <w:r w:rsidR="00AD5EB8" w:rsidRPr="00FA2A17">
        <w:rPr>
          <w:rFonts w:ascii="Times New Roman" w:eastAsia="標楷體" w:hAnsi="Times New Roman" w:cs="Times New Roman" w:hint="eastAsia"/>
          <w:sz w:val="24"/>
          <w:szCs w:val="24"/>
        </w:rPr>
        <w:t>領有全民健康保險</w:t>
      </w:r>
      <w:r w:rsidRPr="00FA2A17">
        <w:rPr>
          <w:rFonts w:ascii="Times New Roman" w:eastAsia="標楷體" w:hAnsi="Times New Roman" w:cs="Times New Roman"/>
          <w:sz w:val="24"/>
          <w:szCs w:val="24"/>
        </w:rPr>
        <w:t>重大傷病</w:t>
      </w:r>
      <w:r w:rsidR="00AD5EB8" w:rsidRPr="00FA2A17">
        <w:rPr>
          <w:rFonts w:ascii="Times New Roman" w:eastAsia="標楷體" w:hAnsi="Times New Roman" w:cs="Times New Roman" w:hint="eastAsia"/>
          <w:sz w:val="24"/>
          <w:szCs w:val="24"/>
        </w:rPr>
        <w:t>卡</w:t>
      </w:r>
      <w:r w:rsidRPr="00FA2A17">
        <w:rPr>
          <w:rFonts w:ascii="Times New Roman" w:eastAsia="標楷體" w:hAnsi="Times New Roman" w:cs="Times New Roman"/>
          <w:sz w:val="24"/>
          <w:szCs w:val="24"/>
        </w:rPr>
        <w:t>、育兒、突遭重大變故或有『本校教師評鑑準則第</w:t>
      </w:r>
      <w:r w:rsidR="00451DB0" w:rsidRPr="00FA2A17">
        <w:rPr>
          <w:rFonts w:ascii="Times New Roman" w:eastAsia="標楷體" w:hAnsi="Times New Roman" w:cs="Times New Roman" w:hint="eastAsia"/>
          <w:sz w:val="24"/>
          <w:szCs w:val="24"/>
        </w:rPr>
        <w:t>九</w:t>
      </w:r>
      <w:r w:rsidRPr="00FA2A17">
        <w:rPr>
          <w:rFonts w:ascii="Times New Roman" w:eastAsia="標楷體" w:hAnsi="Times New Roman" w:cs="Times New Roman"/>
          <w:sz w:val="24"/>
          <w:szCs w:val="24"/>
        </w:rPr>
        <w:t>條第</w:t>
      </w:r>
      <w:r w:rsidR="0081651D" w:rsidRPr="00FA2A17">
        <w:rPr>
          <w:rFonts w:ascii="Times New Roman" w:eastAsia="標楷體" w:hAnsi="Times New Roman" w:cs="Times New Roman" w:hint="eastAsia"/>
          <w:sz w:val="24"/>
          <w:szCs w:val="24"/>
        </w:rPr>
        <w:t>五</w:t>
      </w:r>
      <w:r w:rsidRPr="00FA2A17">
        <w:rPr>
          <w:rFonts w:ascii="Times New Roman" w:eastAsia="標楷體" w:hAnsi="Times New Roman" w:cs="Times New Roman"/>
          <w:sz w:val="24"/>
          <w:szCs w:val="24"/>
        </w:rPr>
        <w:t>項規定之』事實者，得檢具證明依行政程序簽請同意延後辦理評鑑或再評鑑。</w:t>
      </w:r>
    </w:p>
    <w:p w:rsidR="0011155F" w:rsidRPr="00FA2A17" w:rsidRDefault="0011155F" w:rsidP="00C97B75">
      <w:pPr>
        <w:pStyle w:val="a3"/>
        <w:numPr>
          <w:ilvl w:val="0"/>
          <w:numId w:val="9"/>
        </w:numPr>
        <w:ind w:left="1200" w:hangingChars="500" w:hanging="1200"/>
        <w:jc w:val="both"/>
        <w:rPr>
          <w:rFonts w:ascii="Times New Roman" w:eastAsia="標楷體" w:hAnsi="Times New Roman" w:cs="Times New Roman"/>
        </w:rPr>
      </w:pPr>
      <w:r w:rsidRPr="00FA2A17">
        <w:rPr>
          <w:rFonts w:ascii="Times New Roman" w:eastAsia="標楷體" w:hAnsi="Times New Roman" w:cs="Times New Roman"/>
        </w:rPr>
        <w:t>本院教師評鑑工作由院教師評鑑小組負責。院教師評鑑小組委員共</w:t>
      </w:r>
      <w:r w:rsidR="00451DB0" w:rsidRPr="00FA2A17">
        <w:rPr>
          <w:rFonts w:ascii="Times New Roman" w:eastAsia="標楷體" w:hAnsi="Times New Roman" w:cs="Times New Roman" w:hint="eastAsia"/>
        </w:rPr>
        <w:t>十</w:t>
      </w:r>
      <w:r w:rsidRPr="00FA2A17">
        <w:rPr>
          <w:rFonts w:ascii="Times New Roman" w:eastAsia="標楷體" w:hAnsi="Times New Roman" w:cs="Times New Roman"/>
        </w:rPr>
        <w:t>人，其組成方式如下：</w:t>
      </w:r>
    </w:p>
    <w:p w:rsidR="003B6D1D" w:rsidRPr="00FA2A17" w:rsidRDefault="009559F1" w:rsidP="00C97B75">
      <w:pPr>
        <w:pStyle w:val="a4"/>
        <w:numPr>
          <w:ilvl w:val="0"/>
          <w:numId w:val="13"/>
        </w:numPr>
        <w:ind w:left="1701" w:hanging="510"/>
        <w:jc w:val="both"/>
        <w:rPr>
          <w:rFonts w:ascii="Times New Roman" w:eastAsia="標楷體" w:hAnsi="Times New Roman" w:cs="Times New Roman"/>
          <w:sz w:val="24"/>
          <w:szCs w:val="24"/>
        </w:rPr>
      </w:pPr>
      <w:r w:rsidRPr="00FA2A17">
        <w:rPr>
          <w:rFonts w:ascii="Times New Roman" w:eastAsia="標楷體" w:hAnsi="Times New Roman" w:cs="Times New Roman"/>
          <w:sz w:val="24"/>
          <w:szCs w:val="24"/>
        </w:rPr>
        <w:t>教師評鑑小組以本院院長為當然委員</w:t>
      </w:r>
      <w:r w:rsidRPr="00FA2A17">
        <w:rPr>
          <w:rFonts w:ascii="Times New Roman" w:eastAsia="標楷體" w:hAnsi="Times New Roman" w:cs="Times New Roman" w:hint="eastAsia"/>
          <w:sz w:val="24"/>
          <w:szCs w:val="24"/>
        </w:rPr>
        <w:t>兼</w:t>
      </w:r>
      <w:r w:rsidR="0011155F" w:rsidRPr="00FA2A17">
        <w:rPr>
          <w:rFonts w:ascii="Times New Roman" w:eastAsia="標楷體" w:hAnsi="Times New Roman" w:cs="Times New Roman"/>
          <w:sz w:val="24"/>
          <w:szCs w:val="24"/>
        </w:rPr>
        <w:t>召集人。</w:t>
      </w:r>
    </w:p>
    <w:p w:rsidR="0011155F" w:rsidRPr="00FA2A17" w:rsidRDefault="00451DB0" w:rsidP="00C97B75">
      <w:pPr>
        <w:pStyle w:val="a4"/>
        <w:numPr>
          <w:ilvl w:val="0"/>
          <w:numId w:val="13"/>
        </w:numPr>
        <w:ind w:left="1701" w:hanging="510"/>
        <w:jc w:val="both"/>
        <w:rPr>
          <w:rFonts w:ascii="Times New Roman" w:eastAsia="標楷體" w:hAnsi="Times New Roman" w:cs="Times New Roman"/>
          <w:sz w:val="24"/>
          <w:szCs w:val="24"/>
        </w:rPr>
      </w:pPr>
      <w:r w:rsidRPr="00FA2A17">
        <w:rPr>
          <w:rFonts w:ascii="Times New Roman" w:eastAsia="標楷體" w:hAnsi="Times New Roman" w:cs="Times New Roman" w:hint="eastAsia"/>
          <w:sz w:val="24"/>
          <w:szCs w:val="24"/>
        </w:rPr>
        <w:t>各系所推薦</w:t>
      </w:r>
      <w:r w:rsidR="00373A9F" w:rsidRPr="00FA2A17">
        <w:rPr>
          <w:rFonts w:ascii="Times New Roman" w:eastAsia="標楷體" w:hAnsi="Times New Roman" w:cs="Times New Roman" w:hint="eastAsia"/>
          <w:sz w:val="24"/>
          <w:szCs w:val="24"/>
        </w:rPr>
        <w:t>二</w:t>
      </w:r>
      <w:r w:rsidRPr="00FA2A17">
        <w:rPr>
          <w:rFonts w:ascii="Times New Roman" w:eastAsia="標楷體" w:hAnsi="Times New Roman" w:cs="Times New Roman" w:hint="eastAsia"/>
          <w:sz w:val="24"/>
          <w:szCs w:val="24"/>
        </w:rPr>
        <w:t>名</w:t>
      </w:r>
      <w:r w:rsidR="00D777DC" w:rsidRPr="00FA2A17">
        <w:rPr>
          <w:rFonts w:ascii="Times New Roman" w:eastAsia="標楷體" w:hAnsi="Times New Roman" w:cs="Times New Roman" w:hint="eastAsia"/>
          <w:sz w:val="24"/>
          <w:szCs w:val="24"/>
        </w:rPr>
        <w:t>校外</w:t>
      </w:r>
      <w:r w:rsidRPr="00FA2A17">
        <w:rPr>
          <w:rFonts w:ascii="Times New Roman" w:eastAsia="標楷體" w:hAnsi="Times New Roman" w:cs="Times New Roman" w:hint="eastAsia"/>
          <w:sz w:val="24"/>
          <w:szCs w:val="24"/>
        </w:rPr>
        <w:t>委員，</w:t>
      </w:r>
      <w:r w:rsidR="0011155F" w:rsidRPr="00FA2A17">
        <w:rPr>
          <w:rFonts w:ascii="Times New Roman" w:eastAsia="標楷體" w:hAnsi="Times New Roman" w:cs="Times New Roman"/>
          <w:sz w:val="24"/>
          <w:szCs w:val="24"/>
        </w:rPr>
        <w:t>院長應聘請</w:t>
      </w:r>
      <w:r w:rsidR="00373A9F" w:rsidRPr="00FA2A17">
        <w:rPr>
          <w:rFonts w:ascii="Times New Roman" w:eastAsia="標楷體" w:hAnsi="Times New Roman" w:cs="Times New Roman" w:hint="eastAsia"/>
          <w:sz w:val="24"/>
          <w:szCs w:val="24"/>
        </w:rPr>
        <w:t>五</w:t>
      </w:r>
      <w:r w:rsidR="0011155F" w:rsidRPr="00FA2A17">
        <w:rPr>
          <w:rFonts w:ascii="Times New Roman" w:eastAsia="標楷體" w:hAnsi="Times New Roman" w:cs="Times New Roman"/>
          <w:sz w:val="24"/>
          <w:szCs w:val="24"/>
        </w:rPr>
        <w:t>名校外傑出學者專家擔任委員</w:t>
      </w:r>
      <w:r w:rsidRPr="00FA2A17">
        <w:rPr>
          <w:rFonts w:ascii="Times New Roman" w:eastAsia="標楷體" w:hAnsi="Times New Roman" w:cs="Times New Roman" w:hint="eastAsia"/>
          <w:sz w:val="24"/>
          <w:szCs w:val="24"/>
        </w:rPr>
        <w:t>，各系所推薦之委員至少一名聘任之</w:t>
      </w:r>
      <w:r w:rsidR="0011155F" w:rsidRPr="00FA2A17">
        <w:rPr>
          <w:rFonts w:ascii="Times New Roman" w:eastAsia="標楷體" w:hAnsi="Times New Roman" w:cs="Times New Roman"/>
          <w:sz w:val="24"/>
          <w:szCs w:val="24"/>
        </w:rPr>
        <w:t>。</w:t>
      </w:r>
    </w:p>
    <w:p w:rsidR="0011155F" w:rsidRPr="00FA2A17" w:rsidRDefault="0011155F" w:rsidP="00C97B75">
      <w:pPr>
        <w:pStyle w:val="a4"/>
        <w:numPr>
          <w:ilvl w:val="0"/>
          <w:numId w:val="13"/>
        </w:numPr>
        <w:ind w:left="1701" w:hanging="510"/>
        <w:jc w:val="both"/>
        <w:rPr>
          <w:rFonts w:ascii="Times New Roman" w:eastAsia="標楷體" w:hAnsi="Times New Roman" w:cs="Times New Roman"/>
          <w:sz w:val="24"/>
          <w:szCs w:val="24"/>
        </w:rPr>
      </w:pPr>
      <w:r w:rsidRPr="00FA2A17">
        <w:rPr>
          <w:rFonts w:ascii="Times New Roman" w:eastAsia="標楷體" w:hAnsi="Times New Roman" w:cs="Times New Roman"/>
          <w:sz w:val="24"/>
          <w:szCs w:val="24"/>
        </w:rPr>
        <w:t>其餘委員由本院</w:t>
      </w:r>
      <w:r w:rsidR="00373A9F" w:rsidRPr="00FA2A17">
        <w:rPr>
          <w:rFonts w:ascii="Times New Roman" w:eastAsia="標楷體" w:hAnsi="Times New Roman" w:cs="Times New Roman" w:hint="eastAsia"/>
          <w:sz w:val="24"/>
          <w:szCs w:val="24"/>
        </w:rPr>
        <w:t>各系所各推薦一名委員。</w:t>
      </w:r>
      <w:r w:rsidRPr="00FA2A17">
        <w:rPr>
          <w:rFonts w:ascii="Times New Roman" w:eastAsia="標楷體" w:hAnsi="Times New Roman" w:cs="Times New Roman"/>
          <w:sz w:val="24"/>
          <w:szCs w:val="24"/>
        </w:rPr>
        <w:t>當年度受評鑑教師不得擔任委員。惟院長為受評人時應迴避自身之評鑑。</w:t>
      </w:r>
    </w:p>
    <w:p w:rsidR="003B6D1D" w:rsidRPr="00FA2A17" w:rsidRDefault="0011155F" w:rsidP="00C97B75">
      <w:pPr>
        <w:pStyle w:val="a3"/>
        <w:numPr>
          <w:ilvl w:val="0"/>
          <w:numId w:val="9"/>
        </w:numPr>
        <w:ind w:left="1200" w:hangingChars="500" w:hanging="1200"/>
        <w:jc w:val="both"/>
        <w:rPr>
          <w:rFonts w:ascii="Times New Roman" w:eastAsia="標楷體" w:hAnsi="Times New Roman" w:cs="Times New Roman"/>
        </w:rPr>
      </w:pPr>
      <w:r w:rsidRPr="00FA2A17">
        <w:rPr>
          <w:rFonts w:ascii="Times New Roman" w:eastAsia="標楷體" w:hAnsi="Times New Roman" w:cs="Times New Roman"/>
        </w:rPr>
        <w:t>本院教師評鑑會議須由評鑑小組委員親自出席，不得由他人代理。會議須有全體委員三分之二以上出席始得召開。必要時評鑑小組得邀請受評鑑教師至評鑑會議說明或報告。評鑑小組完成評鑑作業後，應將評鑑結果送交受評鑑教師。</w:t>
      </w:r>
    </w:p>
    <w:p w:rsidR="0011155F" w:rsidRPr="00FA2A17" w:rsidRDefault="0011155F" w:rsidP="00C97B75">
      <w:pPr>
        <w:pStyle w:val="a3"/>
        <w:numPr>
          <w:ilvl w:val="0"/>
          <w:numId w:val="9"/>
        </w:numPr>
        <w:ind w:left="1200" w:hangingChars="500" w:hanging="1200"/>
        <w:jc w:val="both"/>
        <w:rPr>
          <w:rFonts w:ascii="Times New Roman" w:eastAsia="標楷體" w:hAnsi="Times New Roman" w:cs="Times New Roman"/>
        </w:rPr>
      </w:pPr>
      <w:r w:rsidRPr="00FA2A17">
        <w:rPr>
          <w:rFonts w:ascii="Times New Roman" w:eastAsia="標楷體" w:hAnsi="Times New Roman" w:cs="Times New Roman"/>
        </w:rPr>
        <w:t>本院教師評鑑小組應於每年三月底前，列出當年度應接受評鑑之教師名單，通知相關系（所）備妥受評教師資料，於四月底前送院辦理。由院長召集院教師評鑑小組召開教師評鑑會議，進行評鑑，評鑑工作應於五月底以前完成。</w:t>
      </w:r>
    </w:p>
    <w:p w:rsidR="0011155F" w:rsidRPr="00FA2A17" w:rsidRDefault="0011155F" w:rsidP="00C97B75">
      <w:pPr>
        <w:pStyle w:val="a3"/>
        <w:ind w:left="1200"/>
        <w:jc w:val="both"/>
        <w:rPr>
          <w:rFonts w:ascii="Times New Roman" w:eastAsia="標楷體" w:hAnsi="Times New Roman" w:cs="Times New Roman"/>
        </w:rPr>
      </w:pPr>
      <w:r w:rsidRPr="00FA2A17">
        <w:rPr>
          <w:rFonts w:ascii="Times New Roman" w:eastAsia="標楷體" w:hAnsi="Times New Roman" w:cs="Times New Roman"/>
        </w:rPr>
        <w:lastRenderedPageBreak/>
        <w:t>當年度受評鑑教師不足</w:t>
      </w:r>
      <w:r w:rsidR="00690390" w:rsidRPr="00FA2A17">
        <w:rPr>
          <w:rFonts w:ascii="Times New Roman" w:eastAsia="標楷體" w:hAnsi="Times New Roman" w:cs="Times New Roman" w:hint="eastAsia"/>
        </w:rPr>
        <w:t>十</w:t>
      </w:r>
      <w:r w:rsidRPr="00FA2A17">
        <w:rPr>
          <w:rFonts w:ascii="Times New Roman" w:eastAsia="標楷體" w:hAnsi="Times New Roman" w:cs="Times New Roman"/>
        </w:rPr>
        <w:t>人或其他特殊狀況，得依行政程序報請校長核定後，延後於次一年度辦理評鑑。</w:t>
      </w:r>
    </w:p>
    <w:p w:rsidR="005560D5" w:rsidRPr="00FA2A17" w:rsidRDefault="00E42E80" w:rsidP="00C97B75">
      <w:pPr>
        <w:pStyle w:val="a3"/>
        <w:numPr>
          <w:ilvl w:val="0"/>
          <w:numId w:val="9"/>
        </w:numPr>
        <w:ind w:left="1200" w:hangingChars="500" w:hanging="1200"/>
        <w:jc w:val="both"/>
        <w:rPr>
          <w:rFonts w:ascii="Times New Roman" w:eastAsia="標楷體" w:hAnsi="Times New Roman" w:cs="Times New Roman"/>
        </w:rPr>
      </w:pPr>
      <w:r w:rsidRPr="00FA2A17">
        <w:rPr>
          <w:rFonts w:ascii="Times New Roman" w:eastAsia="標楷體" w:hAnsi="Times New Roman" w:cs="Times New Roman"/>
        </w:rPr>
        <w:t>教師評鑑項目分教學、研究與服務</w:t>
      </w:r>
      <w:r w:rsidR="005560D5" w:rsidRPr="00FA2A17">
        <w:rPr>
          <w:rFonts w:ascii="Times New Roman" w:eastAsia="標楷體" w:hAnsi="Times New Roman" w:cs="Times New Roman"/>
        </w:rPr>
        <w:t>。各項目總和滿</w:t>
      </w:r>
      <w:r w:rsidRPr="00FA2A17">
        <w:rPr>
          <w:rFonts w:ascii="Times New Roman" w:eastAsia="標楷體" w:hAnsi="Times New Roman" w:cs="Times New Roman"/>
        </w:rPr>
        <w:t>分為一百分，七十分為及格。</w:t>
      </w:r>
      <w:r w:rsidR="00373A9F" w:rsidRPr="00FA2A17">
        <w:rPr>
          <w:rFonts w:ascii="Times New Roman" w:eastAsia="標楷體" w:hAnsi="Times New Roman" w:cs="Times New Roman" w:hint="eastAsia"/>
        </w:rPr>
        <w:t>出席委員</w:t>
      </w:r>
      <w:r w:rsidR="00E66EE6" w:rsidRPr="00FA2A17">
        <w:rPr>
          <w:rFonts w:ascii="Times New Roman" w:eastAsia="標楷體" w:hAnsi="Times New Roman" w:cs="Times New Roman" w:hint="eastAsia"/>
        </w:rPr>
        <w:t>二分之一</w:t>
      </w:r>
      <w:r w:rsidR="00FD5896" w:rsidRPr="00FA2A17">
        <w:rPr>
          <w:rFonts w:ascii="Times New Roman" w:eastAsia="標楷體" w:hAnsi="Times New Roman" w:cs="Times New Roman" w:hint="eastAsia"/>
        </w:rPr>
        <w:t>以上</w:t>
      </w:r>
      <w:r w:rsidR="00373A9F" w:rsidRPr="00FA2A17">
        <w:rPr>
          <w:rFonts w:ascii="Times New Roman" w:eastAsia="標楷體" w:hAnsi="Times New Roman" w:cs="Times New Roman" w:hint="eastAsia"/>
        </w:rPr>
        <w:t>通過</w:t>
      </w:r>
      <w:r w:rsidR="00FD5896" w:rsidRPr="00FA2A17">
        <w:rPr>
          <w:rFonts w:ascii="Times New Roman" w:eastAsia="標楷體" w:hAnsi="Times New Roman" w:cs="Times New Roman" w:hint="eastAsia"/>
        </w:rPr>
        <w:t>評分達</w:t>
      </w:r>
      <w:r w:rsidR="00E66EE6" w:rsidRPr="00FA2A17">
        <w:rPr>
          <w:rFonts w:ascii="Times New Roman" w:eastAsia="標楷體" w:hAnsi="Times New Roman" w:cs="Times New Roman" w:hint="eastAsia"/>
        </w:rPr>
        <w:t>七十</w:t>
      </w:r>
      <w:r w:rsidR="00FD5896" w:rsidRPr="00FA2A17">
        <w:rPr>
          <w:rFonts w:ascii="Times New Roman" w:eastAsia="標楷體" w:hAnsi="Times New Roman" w:cs="Times New Roman" w:hint="eastAsia"/>
        </w:rPr>
        <w:t>分以上</w:t>
      </w:r>
      <w:r w:rsidR="00373A9F" w:rsidRPr="00FA2A17">
        <w:rPr>
          <w:rFonts w:ascii="Times New Roman" w:eastAsia="標楷體" w:hAnsi="Times New Roman" w:cs="Times New Roman" w:hint="eastAsia"/>
        </w:rPr>
        <w:t>為通過</w:t>
      </w:r>
      <w:r w:rsidR="005560D5" w:rsidRPr="00FA2A17">
        <w:rPr>
          <w:rFonts w:ascii="Times New Roman" w:eastAsia="標楷體" w:hAnsi="Times New Roman" w:cs="Times New Roman"/>
        </w:rPr>
        <w:t>。針對各分項之詳細評鑑項目，訂定電機資訊學院教師評鑑評分表如后。</w:t>
      </w:r>
    </w:p>
    <w:p w:rsidR="005560D5" w:rsidRPr="00FA2A17" w:rsidRDefault="005560D5" w:rsidP="00C97B75">
      <w:pPr>
        <w:pStyle w:val="a3"/>
        <w:ind w:left="1200"/>
        <w:jc w:val="both"/>
        <w:rPr>
          <w:rFonts w:ascii="Times New Roman" w:eastAsia="標楷體" w:hAnsi="Times New Roman" w:cs="Times New Roman"/>
        </w:rPr>
      </w:pPr>
      <w:r w:rsidRPr="00FA2A17">
        <w:rPr>
          <w:rFonts w:ascii="Times New Roman" w:eastAsia="標楷體" w:hAnsi="Times New Roman" w:cs="Times New Roman"/>
        </w:rPr>
        <w:t>教師須由下列二種配分比例當中選定一種接受評鑑。</w:t>
      </w:r>
    </w:p>
    <w:p w:rsidR="005560D5" w:rsidRPr="00FA2A17" w:rsidRDefault="005560D5" w:rsidP="00C97B75">
      <w:pPr>
        <w:pStyle w:val="a3"/>
        <w:ind w:left="1200"/>
        <w:jc w:val="both"/>
        <w:rPr>
          <w:rFonts w:ascii="Times New Roman" w:eastAsia="標楷體" w:hAnsi="Times New Roman" w:cs="Times New Roman"/>
        </w:rPr>
      </w:pPr>
      <w:r w:rsidRPr="00FA2A17">
        <w:rPr>
          <w:rFonts w:ascii="Times New Roman" w:eastAsia="標楷體" w:hAnsi="Times New Roman" w:cs="Times New Roman"/>
        </w:rPr>
        <w:t>甲：教學佔三十分、研究佔五十分、服務佔二十分。</w:t>
      </w:r>
    </w:p>
    <w:p w:rsidR="005560D5" w:rsidRPr="00FA2A17" w:rsidRDefault="005560D5" w:rsidP="00C97B75">
      <w:pPr>
        <w:pStyle w:val="a3"/>
        <w:ind w:left="1200"/>
        <w:jc w:val="both"/>
        <w:rPr>
          <w:rFonts w:ascii="Times New Roman" w:eastAsia="標楷體" w:hAnsi="Times New Roman" w:cs="Times New Roman"/>
        </w:rPr>
      </w:pPr>
      <w:r w:rsidRPr="00FA2A17">
        <w:rPr>
          <w:rFonts w:ascii="Times New Roman" w:eastAsia="標楷體" w:hAnsi="Times New Roman" w:cs="Times New Roman"/>
        </w:rPr>
        <w:t>乙：教學佔五十分、研究佔三十分、服務佔二十分。</w:t>
      </w:r>
    </w:p>
    <w:p w:rsidR="00A3510B" w:rsidRPr="00FA2A17" w:rsidRDefault="005560D5">
      <w:pPr>
        <w:pStyle w:val="a3"/>
        <w:ind w:left="1200"/>
        <w:jc w:val="both"/>
        <w:rPr>
          <w:rFonts w:ascii="Times New Roman" w:eastAsia="標楷體" w:hAnsi="Times New Roman" w:cs="Times New Roman"/>
        </w:rPr>
      </w:pPr>
      <w:r w:rsidRPr="00FA2A17">
        <w:rPr>
          <w:rFonts w:ascii="Times New Roman" w:eastAsia="標楷體" w:hAnsi="Times New Roman" w:cs="Times New Roman"/>
        </w:rPr>
        <w:t>電機資訊學院教師評鑑之評鑑自評表另訂定之。</w:t>
      </w:r>
    </w:p>
    <w:p w:rsidR="005560D5" w:rsidRPr="00FA2A17" w:rsidRDefault="005560D5" w:rsidP="00C97B75">
      <w:pPr>
        <w:pStyle w:val="a3"/>
        <w:numPr>
          <w:ilvl w:val="0"/>
          <w:numId w:val="9"/>
        </w:numPr>
        <w:ind w:left="1200" w:hangingChars="500" w:hanging="1200"/>
        <w:jc w:val="both"/>
        <w:rPr>
          <w:rFonts w:ascii="Times New Roman" w:eastAsia="標楷體" w:hAnsi="Times New Roman" w:cs="Times New Roman"/>
        </w:rPr>
      </w:pPr>
      <w:r w:rsidRPr="00FA2A17">
        <w:rPr>
          <w:rFonts w:ascii="Times New Roman" w:eastAsia="標楷體" w:hAnsi="Times New Roman" w:cs="Times New Roman"/>
        </w:rPr>
        <w:t>本院各受評鑑教師評鑑結果雖達通過標準，惟如有教學績效、研究績效及服務績效等項目中，其中任一單項評鑑成績不及格者，應列為輔導對象。</w:t>
      </w:r>
    </w:p>
    <w:p w:rsidR="005560D5" w:rsidRPr="00FA2A17" w:rsidRDefault="005560D5" w:rsidP="00C97B75">
      <w:pPr>
        <w:pStyle w:val="a3"/>
        <w:ind w:left="1200"/>
        <w:jc w:val="both"/>
        <w:rPr>
          <w:rFonts w:ascii="Times New Roman" w:eastAsia="標楷體" w:hAnsi="Times New Roman" w:cs="Times New Roman"/>
        </w:rPr>
      </w:pPr>
      <w:r w:rsidRPr="00FA2A17">
        <w:rPr>
          <w:rFonts w:ascii="Times New Roman" w:eastAsia="標楷體" w:hAnsi="Times New Roman" w:cs="Times New Roman"/>
        </w:rPr>
        <w:t>各系所應要求前項受評教師提改善計畫，於六月三十日前送院追踪輔導。</w:t>
      </w:r>
    </w:p>
    <w:p w:rsidR="005560D5" w:rsidRPr="00FA2A17" w:rsidRDefault="005560D5" w:rsidP="00C97B75">
      <w:pPr>
        <w:pStyle w:val="a3"/>
        <w:numPr>
          <w:ilvl w:val="0"/>
          <w:numId w:val="9"/>
        </w:numPr>
        <w:ind w:left="1200" w:hangingChars="500" w:hanging="1200"/>
        <w:jc w:val="both"/>
        <w:rPr>
          <w:rFonts w:ascii="Times New Roman" w:eastAsia="標楷體" w:hAnsi="Times New Roman" w:cs="Times New Roman"/>
        </w:rPr>
      </w:pPr>
      <w:r w:rsidRPr="00FA2A17">
        <w:rPr>
          <w:rFonts w:ascii="Times New Roman" w:eastAsia="標楷體" w:hAnsi="Times New Roman" w:cs="Times New Roman"/>
        </w:rPr>
        <w:t>未通過評鑑教師除應於當年六月三十日前向所屬系所提出改善計畫，所屬系所並應給予適當協助與輔導，必要時得依行政程序簽請相關單位協助之，一年後應接受「再評鑑」。</w:t>
      </w:r>
    </w:p>
    <w:p w:rsidR="005560D5" w:rsidRPr="00FA2A17" w:rsidRDefault="005560D5" w:rsidP="00C97B75">
      <w:pPr>
        <w:pStyle w:val="a3"/>
        <w:numPr>
          <w:ilvl w:val="0"/>
          <w:numId w:val="9"/>
        </w:numPr>
        <w:ind w:left="1200" w:hangingChars="500" w:hanging="1200"/>
        <w:jc w:val="both"/>
        <w:rPr>
          <w:rFonts w:ascii="Times New Roman" w:eastAsia="標楷體" w:hAnsi="Times New Roman" w:cs="Times New Roman"/>
        </w:rPr>
      </w:pPr>
      <w:r w:rsidRPr="00FA2A17">
        <w:rPr>
          <w:rFonts w:ascii="Times New Roman" w:eastAsia="標楷體" w:hAnsi="Times New Roman" w:cs="Times New Roman"/>
        </w:rPr>
        <w:t>對「再評鑑」仍未達通過標準之受評鑑教師，本院評鑑小組應儘速提院教師評審委員會審議後提校教師評審委員會，針對未能通過之原因議決適當之處理方式。如須懲處，依「國立中興大學教師評鑑準則」規定辦理。受懲處之教師爾後通過評鑑，再恢復原有教師權益。</w:t>
      </w:r>
    </w:p>
    <w:p w:rsidR="005560D5" w:rsidRPr="00FA2A17" w:rsidRDefault="005560D5" w:rsidP="00C97B75">
      <w:pPr>
        <w:pStyle w:val="a3"/>
        <w:ind w:left="1200"/>
        <w:jc w:val="both"/>
        <w:rPr>
          <w:rFonts w:ascii="Times New Roman" w:eastAsia="標楷體" w:hAnsi="Times New Roman" w:cs="Times New Roman"/>
        </w:rPr>
      </w:pPr>
      <w:r w:rsidRPr="00FA2A17">
        <w:rPr>
          <w:rFonts w:ascii="Times New Roman" w:eastAsia="標楷體" w:hAnsi="Times New Roman" w:cs="Times New Roman"/>
        </w:rPr>
        <w:t>新聘教師經兩次「再評鑑」仍未達通過標準者，應不予續聘。新聘助理教授與副教授未遵照本校教師評鑑準則第九條所定之期限內完成升等者，不予續聘。</w:t>
      </w:r>
    </w:p>
    <w:p w:rsidR="005560D5" w:rsidRPr="00FA2A17" w:rsidRDefault="005560D5" w:rsidP="00C97B75">
      <w:pPr>
        <w:pStyle w:val="a3"/>
        <w:numPr>
          <w:ilvl w:val="0"/>
          <w:numId w:val="9"/>
        </w:numPr>
        <w:ind w:left="1200" w:hangingChars="500" w:hanging="1200"/>
        <w:jc w:val="both"/>
        <w:rPr>
          <w:rFonts w:ascii="Times New Roman" w:eastAsia="標楷體" w:hAnsi="Times New Roman" w:cs="Times New Roman"/>
        </w:rPr>
      </w:pPr>
      <w:r w:rsidRPr="00FA2A17">
        <w:rPr>
          <w:rFonts w:ascii="Times New Roman" w:eastAsia="標楷體" w:hAnsi="Times New Roman" w:cs="Times New Roman"/>
        </w:rPr>
        <w:t>受評教師對評鑑結果有異議者，得於接獲書面通知三十日內，以書面檢附具體證據，依本校教師申訴評議委員會組織及評議要點規定提起申訴。</w:t>
      </w:r>
    </w:p>
    <w:p w:rsidR="007E2B97" w:rsidRPr="00FA2A17" w:rsidRDefault="007E2B97" w:rsidP="00266940">
      <w:pPr>
        <w:pStyle w:val="a3"/>
        <w:ind w:left="1200"/>
        <w:jc w:val="both"/>
        <w:rPr>
          <w:rFonts w:ascii="Times New Roman" w:eastAsia="標楷體" w:hAnsi="Times New Roman" w:cs="Times New Roman"/>
        </w:rPr>
      </w:pPr>
      <w:r w:rsidRPr="00FA2A17">
        <w:rPr>
          <w:rFonts w:ascii="Times New Roman" w:eastAsia="標楷體" w:hAnsi="Times New Roman" w:cs="Times New Roman" w:hint="eastAsia"/>
        </w:rPr>
        <w:t>申訴人不服本校教師申訴評議委員會之評議者，得向教育部中央教師申訴評議委員會提出再申訴。</w:t>
      </w:r>
    </w:p>
    <w:p w:rsidR="00BA4219" w:rsidRPr="00FA2A17" w:rsidRDefault="00BA4219" w:rsidP="00C97B75">
      <w:pPr>
        <w:pStyle w:val="a3"/>
        <w:numPr>
          <w:ilvl w:val="0"/>
          <w:numId w:val="9"/>
        </w:numPr>
        <w:ind w:left="1200" w:hangingChars="500" w:hanging="1200"/>
        <w:jc w:val="both"/>
        <w:rPr>
          <w:rFonts w:ascii="Times New Roman" w:eastAsia="標楷體" w:hAnsi="Times New Roman" w:cs="Times New Roman"/>
        </w:rPr>
      </w:pPr>
      <w:r w:rsidRPr="00FA2A17">
        <w:rPr>
          <w:rFonts w:ascii="Times New Roman" w:eastAsia="標楷體" w:hAnsi="Times New Roman" w:cs="Times New Roman" w:hint="eastAsia"/>
        </w:rPr>
        <w:t>本辦法若有未盡事宜，悉依本校相關規定辦理。</w:t>
      </w:r>
    </w:p>
    <w:p w:rsidR="00BA4219" w:rsidRPr="00FA2A17" w:rsidRDefault="00BA4219" w:rsidP="00BA4219">
      <w:pPr>
        <w:pStyle w:val="a3"/>
        <w:numPr>
          <w:ilvl w:val="0"/>
          <w:numId w:val="9"/>
        </w:numPr>
        <w:ind w:left="1200" w:hangingChars="500" w:hanging="1200"/>
        <w:jc w:val="both"/>
        <w:rPr>
          <w:rFonts w:ascii="Times New Roman" w:eastAsia="標楷體" w:hAnsi="Times New Roman" w:cs="Times New Roman"/>
        </w:rPr>
      </w:pPr>
      <w:r w:rsidRPr="00FA2A17">
        <w:rPr>
          <w:rFonts w:ascii="Times New Roman" w:eastAsia="標楷體" w:hAnsi="Times New Roman" w:cs="Times New Roman" w:hint="eastAsia"/>
        </w:rPr>
        <w:t>本辦法經院務會議通過並報校長核定後施行，修正時亦同</w:t>
      </w:r>
    </w:p>
    <w:p w:rsidR="003B6D1D" w:rsidRPr="005725F4" w:rsidRDefault="003B6D1D">
      <w:pPr>
        <w:spacing w:before="91"/>
        <w:ind w:right="63"/>
        <w:jc w:val="center"/>
        <w:rPr>
          <w:rFonts w:ascii="Times New Roman" w:eastAsia="標楷體" w:hAnsi="Times New Roman" w:cs="Times New Roman"/>
          <w:sz w:val="20"/>
        </w:rPr>
      </w:pPr>
    </w:p>
    <w:sectPr w:rsidR="003B6D1D" w:rsidRPr="005725F4" w:rsidSect="005560D5">
      <w:type w:val="continuous"/>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D9" w:rsidRDefault="00481DD9" w:rsidP="001760F1">
      <w:r>
        <w:separator/>
      </w:r>
    </w:p>
  </w:endnote>
  <w:endnote w:type="continuationSeparator" w:id="0">
    <w:p w:rsidR="00481DD9" w:rsidRDefault="00481DD9" w:rsidP="0017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D9" w:rsidRDefault="00481DD9" w:rsidP="001760F1">
      <w:r>
        <w:separator/>
      </w:r>
    </w:p>
  </w:footnote>
  <w:footnote w:type="continuationSeparator" w:id="0">
    <w:p w:rsidR="00481DD9" w:rsidRDefault="00481DD9" w:rsidP="00176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D20"/>
    <w:multiLevelType w:val="hybridMultilevel"/>
    <w:tmpl w:val="2A8229AE"/>
    <w:lvl w:ilvl="0" w:tplc="4022BE0A">
      <w:start w:val="1"/>
      <w:numFmt w:val="decimal"/>
      <w:lvlText w:val="%1."/>
      <w:lvlJc w:val="left"/>
      <w:pPr>
        <w:ind w:left="1229" w:hanging="180"/>
      </w:pPr>
      <w:rPr>
        <w:rFonts w:hint="default"/>
        <w:u w:val="none"/>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 w15:restartNumberingAfterBreak="0">
    <w:nsid w:val="02CA2A57"/>
    <w:multiLevelType w:val="hybridMultilevel"/>
    <w:tmpl w:val="893C269A"/>
    <w:lvl w:ilvl="0" w:tplc="F54056FC">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 w15:restartNumberingAfterBreak="0">
    <w:nsid w:val="079648A4"/>
    <w:multiLevelType w:val="hybridMultilevel"/>
    <w:tmpl w:val="1BD62C96"/>
    <w:lvl w:ilvl="0" w:tplc="1F463356">
      <w:start w:val="1"/>
      <w:numFmt w:val="taiwaneseCountingThousand"/>
      <w:lvlText w:val="第%1條"/>
      <w:lvlJc w:val="left"/>
      <w:pPr>
        <w:ind w:left="520" w:hanging="480"/>
      </w:pPr>
      <w:rPr>
        <w:rFonts w:hint="eastAsia"/>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3" w15:restartNumberingAfterBreak="0">
    <w:nsid w:val="13B256FC"/>
    <w:multiLevelType w:val="hybridMultilevel"/>
    <w:tmpl w:val="893C269A"/>
    <w:lvl w:ilvl="0" w:tplc="F54056FC">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4" w15:restartNumberingAfterBreak="0">
    <w:nsid w:val="1BEE3860"/>
    <w:multiLevelType w:val="hybridMultilevel"/>
    <w:tmpl w:val="D9229514"/>
    <w:lvl w:ilvl="0" w:tplc="D01AF19A">
      <w:start w:val="6"/>
      <w:numFmt w:val="taiwaneseCountingThousand"/>
      <w:lvlText w:val="第%1條之一"/>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D01134"/>
    <w:multiLevelType w:val="hybridMultilevel"/>
    <w:tmpl w:val="44D2C36C"/>
    <w:lvl w:ilvl="0" w:tplc="60D67B84">
      <w:start w:val="1"/>
      <w:numFmt w:val="taiwaneseCountingThousand"/>
      <w:lvlText w:val="第%1條之一"/>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3976792"/>
    <w:multiLevelType w:val="hybridMultilevel"/>
    <w:tmpl w:val="23B65D00"/>
    <w:lvl w:ilvl="0" w:tplc="8002637C">
      <w:start w:val="1"/>
      <w:numFmt w:val="taiwaneseCountingThousand"/>
      <w:lvlText w:val="(%1)"/>
      <w:lvlJc w:val="left"/>
      <w:pPr>
        <w:ind w:left="877" w:hanging="480"/>
      </w:pPr>
      <w:rPr>
        <w:rFonts w:hint="eastAsia"/>
      </w:rPr>
    </w:lvl>
    <w:lvl w:ilvl="1" w:tplc="1BEEF01A">
      <w:start w:val="4"/>
      <w:numFmt w:val="taiwaneseCountingThousand"/>
      <w:lvlText w:val="%2、"/>
      <w:lvlJc w:val="left"/>
      <w:pPr>
        <w:ind w:left="1387" w:hanging="510"/>
      </w:pPr>
      <w:rPr>
        <w:rFonts w:hint="default"/>
      </w:r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7" w15:restartNumberingAfterBreak="0">
    <w:nsid w:val="353161A2"/>
    <w:multiLevelType w:val="hybridMultilevel"/>
    <w:tmpl w:val="F17CC56C"/>
    <w:lvl w:ilvl="0" w:tplc="C0169A0A">
      <w:start w:val="1"/>
      <w:numFmt w:val="decimal"/>
      <w:lvlText w:val="%1."/>
      <w:lvlJc w:val="left"/>
      <w:pPr>
        <w:ind w:left="1229" w:hanging="1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8" w15:restartNumberingAfterBreak="0">
    <w:nsid w:val="3A481E78"/>
    <w:multiLevelType w:val="hybridMultilevel"/>
    <w:tmpl w:val="2910B566"/>
    <w:lvl w:ilvl="0" w:tplc="8002637C">
      <w:start w:val="1"/>
      <w:numFmt w:val="taiwaneseCountingThousand"/>
      <w:lvlText w:val="(%1)"/>
      <w:lvlJc w:val="left"/>
      <w:pPr>
        <w:ind w:left="877" w:hanging="480"/>
      </w:pPr>
      <w:rPr>
        <w:rFonts w:hint="eastAsia"/>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9" w15:restartNumberingAfterBreak="0">
    <w:nsid w:val="415C2BEF"/>
    <w:multiLevelType w:val="hybridMultilevel"/>
    <w:tmpl w:val="05D65502"/>
    <w:lvl w:ilvl="0" w:tplc="1F463356">
      <w:start w:val="1"/>
      <w:numFmt w:val="taiwaneseCountingThousand"/>
      <w:lvlText w:val="第%1條"/>
      <w:lvlJc w:val="left"/>
      <w:pPr>
        <w:ind w:left="1048"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0" w15:restartNumberingAfterBreak="0">
    <w:nsid w:val="435006D9"/>
    <w:multiLevelType w:val="hybridMultilevel"/>
    <w:tmpl w:val="DFCC42E0"/>
    <w:lvl w:ilvl="0" w:tplc="8002637C">
      <w:start w:val="1"/>
      <w:numFmt w:val="taiwaneseCountingThousand"/>
      <w:lvlText w:val="(%1)"/>
      <w:lvlJc w:val="left"/>
      <w:pPr>
        <w:ind w:left="878" w:hanging="480"/>
      </w:pPr>
      <w:rPr>
        <w:rFonts w:hint="eastAsia"/>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1" w15:restartNumberingAfterBreak="0">
    <w:nsid w:val="57395E69"/>
    <w:multiLevelType w:val="hybridMultilevel"/>
    <w:tmpl w:val="3872C4FE"/>
    <w:lvl w:ilvl="0" w:tplc="B60A2FE6">
      <w:start w:val="1"/>
      <w:numFmt w:val="decimal"/>
      <w:lvlText w:val="%1."/>
      <w:lvlJc w:val="left"/>
      <w:pPr>
        <w:ind w:left="1529" w:hanging="480"/>
      </w:pPr>
      <w:rPr>
        <w:rFonts w:hint="eastAsia"/>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2" w15:restartNumberingAfterBreak="0">
    <w:nsid w:val="5DE90CB5"/>
    <w:multiLevelType w:val="hybridMultilevel"/>
    <w:tmpl w:val="23B65D00"/>
    <w:lvl w:ilvl="0" w:tplc="8002637C">
      <w:start w:val="1"/>
      <w:numFmt w:val="taiwaneseCountingThousand"/>
      <w:lvlText w:val="(%1)"/>
      <w:lvlJc w:val="left"/>
      <w:pPr>
        <w:ind w:left="877" w:hanging="480"/>
      </w:pPr>
      <w:rPr>
        <w:rFonts w:hint="eastAsia"/>
      </w:rPr>
    </w:lvl>
    <w:lvl w:ilvl="1" w:tplc="1BEEF01A">
      <w:start w:val="4"/>
      <w:numFmt w:val="taiwaneseCountingThousand"/>
      <w:lvlText w:val="%2、"/>
      <w:lvlJc w:val="left"/>
      <w:pPr>
        <w:ind w:left="1387" w:hanging="510"/>
      </w:pPr>
      <w:rPr>
        <w:rFonts w:hint="default"/>
      </w:r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3" w15:restartNumberingAfterBreak="0">
    <w:nsid w:val="616D5CA5"/>
    <w:multiLevelType w:val="hybridMultilevel"/>
    <w:tmpl w:val="E7AA2A98"/>
    <w:lvl w:ilvl="0" w:tplc="3280BE6C">
      <w:start w:val="1"/>
      <w:numFmt w:val="taiwaneseCountingThousand"/>
      <w:lvlText w:val="%1、"/>
      <w:lvlJc w:val="left"/>
      <w:pPr>
        <w:ind w:left="627" w:hanging="510"/>
      </w:pPr>
      <w:rPr>
        <w:rFonts w:hint="default"/>
        <w:b/>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4" w15:restartNumberingAfterBreak="0">
    <w:nsid w:val="62080B78"/>
    <w:multiLevelType w:val="hybridMultilevel"/>
    <w:tmpl w:val="893C269A"/>
    <w:lvl w:ilvl="0" w:tplc="F54056FC">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5" w15:restartNumberingAfterBreak="0">
    <w:nsid w:val="621E736A"/>
    <w:multiLevelType w:val="hybridMultilevel"/>
    <w:tmpl w:val="893C269A"/>
    <w:lvl w:ilvl="0" w:tplc="F54056FC">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num w:numId="1">
    <w:abstractNumId w:val="12"/>
  </w:num>
  <w:num w:numId="2">
    <w:abstractNumId w:val="8"/>
  </w:num>
  <w:num w:numId="3">
    <w:abstractNumId w:val="6"/>
  </w:num>
  <w:num w:numId="4">
    <w:abstractNumId w:val="10"/>
  </w:num>
  <w:num w:numId="5">
    <w:abstractNumId w:val="11"/>
  </w:num>
  <w:num w:numId="6">
    <w:abstractNumId w:val="7"/>
  </w:num>
  <w:num w:numId="7">
    <w:abstractNumId w:val="0"/>
  </w:num>
  <w:num w:numId="8">
    <w:abstractNumId w:val="13"/>
  </w:num>
  <w:num w:numId="9">
    <w:abstractNumId w:val="9"/>
  </w:num>
  <w:num w:numId="10">
    <w:abstractNumId w:val="3"/>
  </w:num>
  <w:num w:numId="11">
    <w:abstractNumId w:val="2"/>
  </w:num>
  <w:num w:numId="12">
    <w:abstractNumId w:val="1"/>
  </w:num>
  <w:num w:numId="13">
    <w:abstractNumId w:val="14"/>
  </w:num>
  <w:num w:numId="14">
    <w:abstractNumId w:val="15"/>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4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1D"/>
    <w:rsid w:val="00011C4E"/>
    <w:rsid w:val="00011DED"/>
    <w:rsid w:val="00020BEF"/>
    <w:rsid w:val="000841F2"/>
    <w:rsid w:val="000A4D9B"/>
    <w:rsid w:val="000C0F50"/>
    <w:rsid w:val="000D7558"/>
    <w:rsid w:val="001016B5"/>
    <w:rsid w:val="0011155F"/>
    <w:rsid w:val="00113298"/>
    <w:rsid w:val="001258D9"/>
    <w:rsid w:val="00134CCB"/>
    <w:rsid w:val="00171523"/>
    <w:rsid w:val="001760F1"/>
    <w:rsid w:val="00197689"/>
    <w:rsid w:val="001A38B3"/>
    <w:rsid w:val="00207E62"/>
    <w:rsid w:val="002178CD"/>
    <w:rsid w:val="00226A05"/>
    <w:rsid w:val="00244E97"/>
    <w:rsid w:val="00266940"/>
    <w:rsid w:val="002A27D3"/>
    <w:rsid w:val="002D10BD"/>
    <w:rsid w:val="002D2C18"/>
    <w:rsid w:val="0030520E"/>
    <w:rsid w:val="0031058D"/>
    <w:rsid w:val="00330F5D"/>
    <w:rsid w:val="003449E3"/>
    <w:rsid w:val="00373A9F"/>
    <w:rsid w:val="003803C4"/>
    <w:rsid w:val="00392703"/>
    <w:rsid w:val="003B6D1D"/>
    <w:rsid w:val="003D0DFC"/>
    <w:rsid w:val="003D5A13"/>
    <w:rsid w:val="0040317C"/>
    <w:rsid w:val="00451DB0"/>
    <w:rsid w:val="00460FE5"/>
    <w:rsid w:val="00480485"/>
    <w:rsid w:val="00481DD9"/>
    <w:rsid w:val="00495EBA"/>
    <w:rsid w:val="004B256A"/>
    <w:rsid w:val="004B77A4"/>
    <w:rsid w:val="004C63CD"/>
    <w:rsid w:val="0052089B"/>
    <w:rsid w:val="005560D5"/>
    <w:rsid w:val="00556C43"/>
    <w:rsid w:val="005725F4"/>
    <w:rsid w:val="005812BD"/>
    <w:rsid w:val="0059080A"/>
    <w:rsid w:val="005F784E"/>
    <w:rsid w:val="00651597"/>
    <w:rsid w:val="00670D13"/>
    <w:rsid w:val="00690390"/>
    <w:rsid w:val="006A4942"/>
    <w:rsid w:val="006B1ABA"/>
    <w:rsid w:val="006F1E0D"/>
    <w:rsid w:val="007319FA"/>
    <w:rsid w:val="00735B33"/>
    <w:rsid w:val="00745CAE"/>
    <w:rsid w:val="0076575C"/>
    <w:rsid w:val="0079472E"/>
    <w:rsid w:val="007E175E"/>
    <w:rsid w:val="007E2B97"/>
    <w:rsid w:val="0081651D"/>
    <w:rsid w:val="008246CB"/>
    <w:rsid w:val="00832E9A"/>
    <w:rsid w:val="008A4C02"/>
    <w:rsid w:val="008D0DBB"/>
    <w:rsid w:val="008E6B04"/>
    <w:rsid w:val="00937007"/>
    <w:rsid w:val="009559F1"/>
    <w:rsid w:val="00963118"/>
    <w:rsid w:val="009C2AC3"/>
    <w:rsid w:val="00A2178E"/>
    <w:rsid w:val="00A32B88"/>
    <w:rsid w:val="00A3510B"/>
    <w:rsid w:val="00A37108"/>
    <w:rsid w:val="00A8695F"/>
    <w:rsid w:val="00AD5EB8"/>
    <w:rsid w:val="00B618FD"/>
    <w:rsid w:val="00B94DA3"/>
    <w:rsid w:val="00BA4219"/>
    <w:rsid w:val="00BA676B"/>
    <w:rsid w:val="00BE70E6"/>
    <w:rsid w:val="00C86DA1"/>
    <w:rsid w:val="00C97B75"/>
    <w:rsid w:val="00CD3E35"/>
    <w:rsid w:val="00D0103E"/>
    <w:rsid w:val="00D777DC"/>
    <w:rsid w:val="00DA25D1"/>
    <w:rsid w:val="00E06248"/>
    <w:rsid w:val="00E3676F"/>
    <w:rsid w:val="00E42E80"/>
    <w:rsid w:val="00E66EE6"/>
    <w:rsid w:val="00EA43DC"/>
    <w:rsid w:val="00EC276D"/>
    <w:rsid w:val="00ED5FF9"/>
    <w:rsid w:val="00F720B2"/>
    <w:rsid w:val="00FA2A17"/>
    <w:rsid w:val="00FC1250"/>
    <w:rsid w:val="00FD5896"/>
    <w:rsid w:val="00FE0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5CBA9-6061-4220-9F87-581BE06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760F1"/>
    <w:pPr>
      <w:tabs>
        <w:tab w:val="center" w:pos="4153"/>
        <w:tab w:val="right" w:pos="8306"/>
      </w:tabs>
      <w:snapToGrid w:val="0"/>
    </w:pPr>
    <w:rPr>
      <w:sz w:val="20"/>
      <w:szCs w:val="20"/>
    </w:rPr>
  </w:style>
  <w:style w:type="character" w:customStyle="1" w:styleId="a6">
    <w:name w:val="頁首 字元"/>
    <w:basedOn w:val="a0"/>
    <w:link w:val="a5"/>
    <w:uiPriority w:val="99"/>
    <w:rsid w:val="001760F1"/>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1760F1"/>
    <w:pPr>
      <w:tabs>
        <w:tab w:val="center" w:pos="4153"/>
        <w:tab w:val="right" w:pos="8306"/>
      </w:tabs>
      <w:snapToGrid w:val="0"/>
    </w:pPr>
    <w:rPr>
      <w:sz w:val="20"/>
      <w:szCs w:val="20"/>
    </w:rPr>
  </w:style>
  <w:style w:type="character" w:customStyle="1" w:styleId="a8">
    <w:name w:val="頁尾 字元"/>
    <w:basedOn w:val="a0"/>
    <w:link w:val="a7"/>
    <w:uiPriority w:val="99"/>
    <w:rsid w:val="001760F1"/>
    <w:rPr>
      <w:rFonts w:ascii="Noto Sans Mono CJK JP Regular" w:eastAsia="Noto Sans Mono CJK JP Regular" w:hAnsi="Noto Sans Mono CJK JP Regular" w:cs="Noto Sans Mono CJK JP Regular"/>
      <w:sz w:val="20"/>
      <w:szCs w:val="20"/>
      <w:lang w:val="zh-TW" w:eastAsia="zh-TW" w:bidi="zh-TW"/>
    </w:rPr>
  </w:style>
  <w:style w:type="paragraph" w:styleId="a9">
    <w:name w:val="Balloon Text"/>
    <w:basedOn w:val="a"/>
    <w:link w:val="aa"/>
    <w:uiPriority w:val="99"/>
    <w:semiHidden/>
    <w:unhideWhenUsed/>
    <w:rsid w:val="001115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1155F"/>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3302">
      <w:bodyDiv w:val="1"/>
      <w:marLeft w:val="0"/>
      <w:marRight w:val="0"/>
      <w:marTop w:val="0"/>
      <w:marBottom w:val="0"/>
      <w:divBdr>
        <w:top w:val="none" w:sz="0" w:space="0" w:color="auto"/>
        <w:left w:val="none" w:sz="0" w:space="0" w:color="auto"/>
        <w:bottom w:val="none" w:sz="0" w:space="0" w:color="auto"/>
        <w:right w:val="none" w:sz="0" w:space="0" w:color="auto"/>
      </w:divBdr>
    </w:div>
    <w:div w:id="196484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BBB9-4F18-428B-A70D-BCE6E854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國立中興大學電機資訊學院教師評鑑辦法</dc:title>
  <dc:creator>lili</dc:creator>
  <cp:lastModifiedBy>chenhsuan li</cp:lastModifiedBy>
  <cp:revision>33</cp:revision>
  <cp:lastPrinted>2020-10-19T05:38:00Z</cp:lastPrinted>
  <dcterms:created xsi:type="dcterms:W3CDTF">2018-10-17T09:15:00Z</dcterms:created>
  <dcterms:modified xsi:type="dcterms:W3CDTF">2020-10-19T05:38:00Z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Microsoft® Word 2010</vt:lpwstr>
  </property>
  <property fmtid="{D5CDD505-2E9C-101B-9397-08002B2CF9AE}" pid="4" name="LastSaved">
    <vt:filetime>2018-10-06T00:00:00Z</vt:filetime>
  </property>
</Properties>
</file>