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B0B36" w14:paraId="13E170EB" w14:textId="77777777" w:rsidTr="00A47602">
        <w:trPr>
          <w:trHeight w:val="2266"/>
        </w:trPr>
        <w:tc>
          <w:tcPr>
            <w:tcW w:w="2122" w:type="dxa"/>
          </w:tcPr>
          <w:p w14:paraId="343B27B1" w14:textId="58FF2B58" w:rsidR="009B0B36" w:rsidRPr="00094346" w:rsidRDefault="005D2D51" w:rsidP="005C31D6">
            <w:pPr>
              <w:rPr>
                <w:rFonts w:ascii="Times New Roman" w:hAnsi="Times New Roman" w:cs="Times New Roman"/>
              </w:rPr>
            </w:pPr>
            <w:r w:rsidRPr="005D2D5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929368C" wp14:editId="4D92F3B2">
                  <wp:simplePos x="0" y="0"/>
                  <wp:positionH relativeFrom="column">
                    <wp:posOffset>99696</wp:posOffset>
                  </wp:positionH>
                  <wp:positionV relativeFrom="paragraph">
                    <wp:posOffset>86361</wp:posOffset>
                  </wp:positionV>
                  <wp:extent cx="925770" cy="1263650"/>
                  <wp:effectExtent l="0" t="0" r="8255" b="0"/>
                  <wp:wrapNone/>
                  <wp:docPr id="28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996" cy="12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4" w:type="dxa"/>
          </w:tcPr>
          <w:p w14:paraId="0D032845" w14:textId="66C129F7" w:rsidR="005C31D6" w:rsidRPr="00094346" w:rsidRDefault="001F12CA" w:rsidP="005C31D6">
            <w:pPr>
              <w:rPr>
                <w:rFonts w:ascii="Times New Roman" w:hAnsi="Times New Roman" w:cs="Times New Roman" w:hint="eastAsia"/>
                <w:b/>
              </w:rPr>
            </w:pPr>
            <w:r w:rsidRPr="001F12CA">
              <w:rPr>
                <w:rFonts w:ascii="Times New Roman" w:hAnsi="Times New Roman" w:cs="Times New Roman"/>
                <w:b/>
              </w:rPr>
              <w:t>Functionalized semiconductor nanostructures for future electronic and energy related devices</w:t>
            </w:r>
          </w:p>
          <w:p w14:paraId="4D2CA1E7" w14:textId="6E4AC722" w:rsidR="005C31D6" w:rsidRPr="00681674" w:rsidRDefault="00681674" w:rsidP="005C31D6">
            <w:pPr>
              <w:rPr>
                <w:rFonts w:ascii="Times New Roman" w:eastAsia="游明朝" w:hAnsi="Times New Roman" w:cs="Times New Roman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lang w:eastAsia="ja-JP"/>
              </w:rPr>
              <w:t>N</w:t>
            </w:r>
            <w:r>
              <w:rPr>
                <w:rFonts w:ascii="Times New Roman" w:eastAsia="游明朝" w:hAnsi="Times New Roman" w:cs="Times New Roman"/>
                <w:lang w:eastAsia="ja-JP"/>
              </w:rPr>
              <w:t>aoki Fukata</w:t>
            </w:r>
          </w:p>
          <w:p w14:paraId="5755CF8A" w14:textId="77777777" w:rsidR="00681674" w:rsidRPr="00681674" w:rsidRDefault="00681674" w:rsidP="00681674">
            <w:pPr>
              <w:rPr>
                <w:rFonts w:ascii="Times New Roman" w:hAnsi="Times New Roman" w:cs="Times New Roman"/>
              </w:rPr>
            </w:pPr>
            <w:r w:rsidRPr="00681674">
              <w:rPr>
                <w:rFonts w:ascii="Times New Roman" w:hAnsi="Times New Roman" w:cs="Times New Roman"/>
              </w:rPr>
              <w:t xml:space="preserve">International Center for Materials Nanoarchitectonics (MANA), </w:t>
            </w:r>
          </w:p>
          <w:p w14:paraId="145D3E9D" w14:textId="77777777" w:rsidR="00681674" w:rsidRDefault="00681674" w:rsidP="00681674">
            <w:pPr>
              <w:rPr>
                <w:rFonts w:ascii="Times New Roman" w:hAnsi="Times New Roman" w:cs="Times New Roman"/>
              </w:rPr>
            </w:pPr>
            <w:r w:rsidRPr="00681674">
              <w:rPr>
                <w:rFonts w:ascii="Times New Roman" w:hAnsi="Times New Roman" w:cs="Times New Roman"/>
              </w:rPr>
              <w:t>National Institute for Materials Science (NIMS)</w:t>
            </w:r>
          </w:p>
          <w:p w14:paraId="6213278F" w14:textId="7D375A89" w:rsidR="00094346" w:rsidRPr="00B70528" w:rsidRDefault="00094346" w:rsidP="005C31D6">
            <w:pPr>
              <w:rPr>
                <w:rFonts w:ascii="Times New Roman" w:hAnsi="Times New Roman" w:cs="Times New Roman" w:hint="eastAsia"/>
                <w:b/>
              </w:rPr>
            </w:pPr>
            <w:r w:rsidRPr="00094346">
              <w:rPr>
                <w:rFonts w:ascii="Times New Roman" w:hAnsi="Times New Roman" w:cs="Times New Roman"/>
                <w:b/>
              </w:rPr>
              <w:t>E-mail:</w:t>
            </w:r>
            <w:r w:rsidR="00681674">
              <w:rPr>
                <w:rFonts w:ascii="Times New Roman" w:hAnsi="Times New Roman" w:cs="Times New Roman"/>
                <w:b/>
              </w:rPr>
              <w:t xml:space="preserve"> FUKATA.Naoki@nims.go.jp</w:t>
            </w:r>
          </w:p>
        </w:tc>
      </w:tr>
      <w:tr w:rsidR="005C31D6" w14:paraId="75120FD7" w14:textId="77777777" w:rsidTr="00DC6838">
        <w:tc>
          <w:tcPr>
            <w:tcW w:w="9736" w:type="dxa"/>
            <w:gridSpan w:val="2"/>
          </w:tcPr>
          <w:p w14:paraId="4912E618" w14:textId="39416950" w:rsidR="00094346" w:rsidRPr="00115A2B" w:rsidRDefault="00094346" w:rsidP="00681674">
            <w:pPr>
              <w:rPr>
                <w:rFonts w:ascii="Times New Roman" w:hAnsi="Times New Roman" w:cs="Times New Roman" w:hint="eastAsia"/>
                <w:b/>
              </w:rPr>
            </w:pPr>
            <w:r w:rsidRPr="00094346">
              <w:rPr>
                <w:rFonts w:ascii="Times New Roman" w:hAnsi="Times New Roman" w:cs="Times New Roman"/>
                <w:b/>
              </w:rPr>
              <w:t xml:space="preserve">Brief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94346">
              <w:rPr>
                <w:rFonts w:ascii="Times New Roman" w:hAnsi="Times New Roman" w:cs="Times New Roman"/>
                <w:b/>
              </w:rPr>
              <w:t>iography of Speaker:</w:t>
            </w:r>
            <w:r w:rsidR="00115A2B">
              <w:rPr>
                <w:rFonts w:ascii="Times New Roman" w:eastAsia="游明朝" w:hAnsi="Times New Roman" w:cs="Times New Roman" w:hint="eastAsia"/>
                <w:b/>
                <w:lang w:eastAsia="ja-JP"/>
              </w:rPr>
              <w:t xml:space="preserve"> </w:t>
            </w:r>
            <w:r w:rsidR="00115A2B" w:rsidRPr="00645136">
              <w:rPr>
                <w:rFonts w:asciiTheme="majorBidi" w:hAnsiTheme="majorBidi" w:cstheme="majorBidi"/>
                <w:bCs/>
              </w:rPr>
              <w:t>Naoki Fukata</w:t>
            </w:r>
            <w:r w:rsidR="00115A2B">
              <w:rPr>
                <w:rFonts w:asciiTheme="majorBidi" w:hAnsiTheme="majorBidi" w:cstheme="majorBidi"/>
              </w:rPr>
              <w:t xml:space="preserve"> </w:t>
            </w:r>
            <w:r w:rsidR="00115A2B" w:rsidRPr="00E300D3">
              <w:rPr>
                <w:rFonts w:asciiTheme="majorBidi" w:hAnsiTheme="majorBidi" w:cstheme="majorBidi"/>
              </w:rPr>
              <w:t xml:space="preserve">is a Group Leader of Nanostructured </w:t>
            </w:r>
            <w:r w:rsidR="00115A2B">
              <w:rPr>
                <w:rFonts w:asciiTheme="majorBidi" w:hAnsiTheme="majorBidi" w:cstheme="majorBidi"/>
              </w:rPr>
              <w:t xml:space="preserve">Semiconducting Materials Group and a Principal Investigator (PI) of </w:t>
            </w:r>
            <w:r w:rsidR="00115A2B" w:rsidRPr="00E300D3">
              <w:rPr>
                <w:rFonts w:asciiTheme="majorBidi" w:hAnsiTheme="majorBidi" w:cstheme="majorBidi"/>
              </w:rPr>
              <w:t>International Center for Mate</w:t>
            </w:r>
            <w:r w:rsidR="00115A2B">
              <w:rPr>
                <w:rFonts w:asciiTheme="majorBidi" w:hAnsiTheme="majorBidi" w:cstheme="majorBidi"/>
              </w:rPr>
              <w:t>rials Nanoarchitectonics (MANA)</w:t>
            </w:r>
            <w:r w:rsidR="00115A2B" w:rsidRPr="00E300D3">
              <w:rPr>
                <w:rFonts w:asciiTheme="majorBidi" w:hAnsiTheme="majorBidi" w:cstheme="majorBidi"/>
              </w:rPr>
              <w:t xml:space="preserve"> </w:t>
            </w:r>
            <w:r w:rsidR="00115A2B">
              <w:rPr>
                <w:rFonts w:asciiTheme="majorBidi" w:hAnsiTheme="majorBidi" w:cstheme="majorBidi"/>
              </w:rPr>
              <w:t xml:space="preserve">in </w:t>
            </w:r>
            <w:r w:rsidR="00115A2B" w:rsidRPr="00E300D3">
              <w:rPr>
                <w:rFonts w:asciiTheme="majorBidi" w:hAnsiTheme="majorBidi" w:cstheme="majorBidi"/>
              </w:rPr>
              <w:t xml:space="preserve">National Institute for Materials Science (NIMS). He received his Ph.D. in engineering from University of Tsukuba. He worked at Tohoku University as an Associate Professor and then a Lecturer at University of Tsukuba. He is working at NIMS </w:t>
            </w:r>
            <w:r w:rsidR="00115A2B">
              <w:rPr>
                <w:rFonts w:asciiTheme="majorBidi" w:hAnsiTheme="majorBidi" w:cstheme="majorBidi"/>
              </w:rPr>
              <w:t>since</w:t>
            </w:r>
            <w:r w:rsidR="00115A2B" w:rsidRPr="00E300D3">
              <w:rPr>
                <w:rFonts w:asciiTheme="majorBidi" w:hAnsiTheme="majorBidi" w:cstheme="majorBidi"/>
              </w:rPr>
              <w:t xml:space="preserve"> 2005. His research group is focused on the functionalization of semiconducting nanomaterials for the appli</w:t>
            </w:r>
            <w:r w:rsidR="00115A2B">
              <w:rPr>
                <w:rFonts w:asciiTheme="majorBidi" w:hAnsiTheme="majorBidi" w:cstheme="majorBidi"/>
              </w:rPr>
              <w:t xml:space="preserve">cations of next-generation high </w:t>
            </w:r>
            <w:r w:rsidR="00115A2B" w:rsidRPr="00E300D3">
              <w:rPr>
                <w:rFonts w:asciiTheme="majorBidi" w:hAnsiTheme="majorBidi" w:cstheme="majorBidi"/>
              </w:rPr>
              <w:t>speed transistors and high efﬁciency solar cells</w:t>
            </w:r>
            <w:r w:rsidR="00115A2B">
              <w:rPr>
                <w:rFonts w:asciiTheme="majorBidi" w:hAnsiTheme="majorBidi" w:cstheme="majorBidi"/>
              </w:rPr>
              <w:t>.</w:t>
            </w:r>
          </w:p>
        </w:tc>
      </w:tr>
      <w:tr w:rsidR="005C31D6" w14:paraId="598EC562" w14:textId="77777777" w:rsidTr="00466EF0">
        <w:tc>
          <w:tcPr>
            <w:tcW w:w="9736" w:type="dxa"/>
            <w:gridSpan w:val="2"/>
          </w:tcPr>
          <w:p w14:paraId="4399F6FF" w14:textId="0D75355A" w:rsidR="00094346" w:rsidRPr="005608AC" w:rsidRDefault="00584C48" w:rsidP="003D2E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08AC">
              <w:rPr>
                <w:rFonts w:ascii="Times New Roman" w:hAnsi="Times New Roman" w:cs="Times New Roman"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641BB0A" wp14:editId="41861B46">
                  <wp:simplePos x="0" y="0"/>
                  <wp:positionH relativeFrom="column">
                    <wp:posOffset>3323590</wp:posOffset>
                  </wp:positionH>
                  <wp:positionV relativeFrom="paragraph">
                    <wp:posOffset>993140</wp:posOffset>
                  </wp:positionV>
                  <wp:extent cx="2773045" cy="2876550"/>
                  <wp:effectExtent l="0" t="0" r="0" b="0"/>
                  <wp:wrapSquare wrapText="bothSides"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4293E9-5A49-4ECF-B3AA-90B7DFE127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B34293E9-5A49-4ECF-B3AA-90B7DFE127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346" w:rsidRPr="00094346">
              <w:rPr>
                <w:rFonts w:ascii="Times New Roman" w:hAnsi="Times New Roman" w:cs="Times New Roman"/>
                <w:b/>
              </w:rPr>
              <w:t>Abstract:</w:t>
            </w:r>
            <w:r w:rsidR="005608AC">
              <w:rPr>
                <w:rFonts w:ascii="Times New Roman" w:eastAsia="游明朝" w:hAnsi="Times New Roman" w:cs="Times New Roman" w:hint="eastAsia"/>
                <w:b/>
                <w:lang w:eastAsia="ja-JP"/>
              </w:rPr>
              <w:t xml:space="preserve"> 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>Semiconductor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 xml:space="preserve"> nano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>structures such as nanowires (NWs) and nanocrystals (NCs)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 xml:space="preserve"> are anticipated for the realization of next-generation 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>high-speed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 xml:space="preserve"> field-effect transistors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, high efficiency solar cells, </w:t>
            </w:r>
            <w:r w:rsidR="003D2ED4">
              <w:rPr>
                <w:rFonts w:ascii="Times New Roman" w:hAnsi="Times New Roman" w:cs="Times New Roman"/>
                <w:color w:val="000000"/>
                <w:szCs w:val="21"/>
              </w:rPr>
              <w:t>high-capacity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Li ion batteries and so on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 xml:space="preserve">. 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In this </w:t>
            </w:r>
            <w:r w:rsidR="000D747E">
              <w:rPr>
                <w:rFonts w:ascii="Times New Roman" w:hAnsi="Times New Roman" w:cs="Times New Roman"/>
                <w:color w:val="000000"/>
                <w:szCs w:val="21"/>
              </w:rPr>
              <w:t>meeting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>, the</w:t>
            </w:r>
            <w:r w:rsidR="000D747E">
              <w:rPr>
                <w:rFonts w:ascii="Times New Roman" w:hAnsi="Times New Roman" w:cs="Times New Roman"/>
                <w:color w:val="000000"/>
                <w:szCs w:val="21"/>
              </w:rPr>
              <w:t xml:space="preserve"> first two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applications using NWs and NCs are introduced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.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C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ore-shell NWs 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>composed of Si and Ge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can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realiz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e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 xml:space="preserve"> high mobility transistor channels, since the carrier transport region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can be separated </w:t>
            </w:r>
            <w:r w:rsidR="0063414A" w:rsidRPr="00216A8C">
              <w:rPr>
                <w:rFonts w:ascii="Times New Roman" w:hAnsi="Times New Roman" w:cs="Times New Roman"/>
                <w:color w:val="000000"/>
                <w:szCs w:val="21"/>
              </w:rPr>
              <w:t>from the impurity doped region, resulting in the suppression of impurity scattering.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The direct evidence of hole gas accumulation in impurity undoped regions in core-shell NWs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was obtained by the Fano effect appeared in optical phonon modes</w:t>
            </w:r>
            <w:r w:rsidR="00E72364">
              <w:rPr>
                <w:rFonts w:ascii="Times New Roman" w:hAnsi="Times New Roman" w:cs="Times New Roman"/>
                <w:color w:val="000000"/>
                <w:szCs w:val="21"/>
              </w:rPr>
              <w:t xml:space="preserve"> (Fig. 1)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. SiNW solar cells using the core-shell fabrication process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improve the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energy conversion efficiency by constructing radial pn junctions in SiNWs. This structure also has an advantage of significantly low light reflection. </w:t>
            </w:r>
            <w:r w:rsidR="00A47602">
              <w:rPr>
                <w:rFonts w:ascii="Times New Roman" w:hAnsi="Times New Roman"/>
              </w:rPr>
              <w:t>A</w:t>
            </w:r>
            <w:r w:rsidR="00A47602" w:rsidRPr="00AE5F6E">
              <w:rPr>
                <w:rFonts w:ascii="Times New Roman" w:hAnsi="Times New Roman"/>
              </w:rPr>
              <w:t xml:space="preserve"> new solar cell paradigm has</w:t>
            </w:r>
            <w:r w:rsidR="00A47602" w:rsidRPr="005C4B37">
              <w:rPr>
                <w:rFonts w:ascii="Times New Roman" w:hAnsi="Times New Roman"/>
              </w:rPr>
              <w:t xml:space="preserve"> </w:t>
            </w:r>
            <w:r w:rsidR="00A47602">
              <w:rPr>
                <w:rFonts w:ascii="Times New Roman" w:hAnsi="Times New Roman"/>
              </w:rPr>
              <w:t xml:space="preserve">also </w:t>
            </w:r>
            <w:r w:rsidR="00A47602" w:rsidRPr="00AE5F6E">
              <w:rPr>
                <w:rFonts w:ascii="Times New Roman" w:hAnsi="Times New Roman"/>
              </w:rPr>
              <w:t>recently</w:t>
            </w:r>
            <w:r w:rsidR="00A47602">
              <w:rPr>
                <w:rFonts w:ascii="Times New Roman" w:hAnsi="Times New Roman"/>
              </w:rPr>
              <w:t xml:space="preserve"> been</w:t>
            </w:r>
            <w:r w:rsidR="00A47602" w:rsidRPr="00AE5F6E">
              <w:rPr>
                <w:rFonts w:ascii="Times New Roman" w:hAnsi="Times New Roman"/>
              </w:rPr>
              <w:t xml:space="preserve"> proposed </w:t>
            </w:r>
            <w:r w:rsidR="001B64DF">
              <w:rPr>
                <w:rFonts w:ascii="Times New Roman" w:hAnsi="Times New Roman"/>
              </w:rPr>
              <w:t>using</w:t>
            </w:r>
            <w:r w:rsidR="00A47602" w:rsidRPr="00AE5F6E">
              <w:rPr>
                <w:rFonts w:ascii="Times New Roman" w:hAnsi="Times New Roman"/>
              </w:rPr>
              <w:t xml:space="preserve"> non-radiative energy transfer </w:t>
            </w:r>
            <w:r w:rsidR="00A47602" w:rsidRPr="00AE5F6E">
              <w:rPr>
                <w:rFonts w:ascii="Times New Roman" w:hAnsi="Times New Roman" w:hint="eastAsia"/>
                <w:lang w:eastAsia="ja-JP"/>
              </w:rPr>
              <w:t>(NRET)</w:t>
            </w:r>
            <w:r w:rsidR="00A47602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="00A47602" w:rsidRPr="00BC2AE9">
              <w:rPr>
                <w:rFonts w:ascii="Times New Roman" w:hAnsi="Times New Roman"/>
              </w:rPr>
              <w:t xml:space="preserve">between </w:t>
            </w:r>
            <w:r w:rsidR="00A47602">
              <w:rPr>
                <w:rFonts w:ascii="Times New Roman" w:hAnsi="Times New Roman"/>
              </w:rPr>
              <w:t>semiconductor QDs</w:t>
            </w:r>
            <w:r w:rsidR="00A47602" w:rsidRPr="00BC2AE9">
              <w:rPr>
                <w:rFonts w:ascii="Times New Roman" w:hAnsi="Times New Roman"/>
              </w:rPr>
              <w:t xml:space="preserve"> and</w:t>
            </w:r>
            <w:r w:rsidR="00A47602">
              <w:rPr>
                <w:rFonts w:ascii="Times New Roman" w:hAnsi="Times New Roman"/>
              </w:rPr>
              <w:t xml:space="preserve"> </w:t>
            </w:r>
            <w:r w:rsidR="001B64DF">
              <w:rPr>
                <w:rFonts w:ascii="Times New Roman" w:hAnsi="Times New Roman"/>
              </w:rPr>
              <w:t>SiNW solar cells</w:t>
            </w:r>
            <w:r w:rsidR="00000BE5">
              <w:rPr>
                <w:rFonts w:ascii="Times New Roman" w:hAnsi="Times New Roman"/>
              </w:rPr>
              <w:t xml:space="preserve"> (Fig. 2)</w:t>
            </w:r>
            <w:r w:rsidR="00A47602">
              <w:rPr>
                <w:rFonts w:ascii="Times New Roman" w:hAnsi="Times New Roman"/>
              </w:rPr>
              <w:t xml:space="preserve">. 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The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maximum 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energy conversion efficiency 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>of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 xml:space="preserve"> 14.3 %</w:t>
            </w:r>
            <w:r w:rsidR="0063414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has been obtained so far</w:t>
            </w:r>
            <w:r w:rsidR="0063414A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14:paraId="59E24C1C" w14:textId="4971C293" w:rsidR="004B0FFE" w:rsidRPr="004B0FFE" w:rsidRDefault="001F12CA" w:rsidP="003D2ED4">
            <w:pPr>
              <w:jc w:val="both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F83573">
              <w:rPr>
                <w:rFonts w:ascii="Times New Roman" w:eastAsia="游明朝" w:hAnsi="Times New Roman" w:cs="Times New Roman" w:hint="eastAsia"/>
                <w:sz w:val="21"/>
                <w:szCs w:val="21"/>
                <w:lang w:eastAsia="ja-JP"/>
              </w:rPr>
              <w:t>[1]</w:t>
            </w:r>
            <w:r w:rsidR="00F83573" w:rsidRPr="00F83573">
              <w:rPr>
                <w:rFonts w:ascii="Times New Roman" w:eastAsia="游明朝" w:hAnsi="Times New Roman" w:cs="Times New Roman"/>
                <w:sz w:val="21"/>
                <w:szCs w:val="21"/>
                <w:lang w:eastAsia="ja-JP"/>
              </w:rPr>
              <w:t xml:space="preserve"> X. Zhang et al.,</w:t>
            </w:r>
            <w:r w:rsidR="00F83573" w:rsidRPr="00F83573">
              <w:rPr>
                <w:rFonts w:ascii="Times New Roman" w:hAnsi="Times New Roman"/>
                <w:i/>
                <w:sz w:val="21"/>
                <w:szCs w:val="21"/>
                <w:lang w:val="bg-BG"/>
              </w:rPr>
              <w:t xml:space="preserve"> ACS Nano</w:t>
            </w:r>
            <w:r w:rsidR="00F83573" w:rsidRPr="00F83573">
              <w:rPr>
                <w:rFonts w:ascii="Times New Roman" w:hAnsi="Times New Roman" w:hint="eastAsia"/>
                <w:sz w:val="21"/>
                <w:szCs w:val="21"/>
                <w:lang w:val="bg-BG"/>
              </w:rPr>
              <w:t xml:space="preserve"> </w:t>
            </w:r>
            <w:r w:rsidR="00F83573" w:rsidRPr="00F83573">
              <w:rPr>
                <w:rFonts w:ascii="Times New Roman" w:hAnsi="Times New Roman" w:hint="eastAsia"/>
                <w:b/>
                <w:sz w:val="21"/>
                <w:szCs w:val="21"/>
                <w:lang w:val="bg-BG"/>
              </w:rPr>
              <w:t>13</w:t>
            </w:r>
            <w:r w:rsidR="00F83573" w:rsidRPr="00F83573">
              <w:rPr>
                <w:rFonts w:ascii="Times New Roman" w:hAnsi="Times New Roman"/>
                <w:sz w:val="21"/>
                <w:szCs w:val="21"/>
                <w:lang w:val="bg-BG"/>
              </w:rPr>
              <w:t xml:space="preserve">, 13403 (2019). </w:t>
            </w:r>
            <w:r w:rsidR="00F83573">
              <w:rPr>
                <w:rFonts w:ascii="Times New Roman" w:hAnsi="Times New Roman"/>
                <w:sz w:val="21"/>
                <w:szCs w:val="21"/>
                <w:lang w:val="bg-BG"/>
              </w:rPr>
              <w:t xml:space="preserve">[2] N. Fukata et al., </w:t>
            </w:r>
            <w:r w:rsidR="00F83573" w:rsidRPr="000B33A8">
              <w:rPr>
                <w:rFonts w:ascii="Times New Roman" w:hAnsi="Times New Roman"/>
                <w:i/>
                <w:iCs/>
                <w:sz w:val="21"/>
                <w:szCs w:val="21"/>
                <w:lang w:val="bg-BG"/>
              </w:rPr>
              <w:t>ACS Nano</w:t>
            </w:r>
            <w:r w:rsidR="00F83573">
              <w:rPr>
                <w:rFonts w:ascii="Times New Roman" w:hAnsi="Times New Roman"/>
                <w:sz w:val="21"/>
                <w:szCs w:val="21"/>
                <w:lang w:val="bg-BG"/>
              </w:rPr>
              <w:t xml:space="preserve"> </w:t>
            </w:r>
            <w:r w:rsidR="00F83573" w:rsidRPr="000B33A8">
              <w:rPr>
                <w:rFonts w:ascii="Times New Roman" w:hAnsi="Times New Roman"/>
                <w:b/>
                <w:bCs/>
                <w:sz w:val="21"/>
                <w:szCs w:val="21"/>
                <w:lang w:val="bg-BG"/>
              </w:rPr>
              <w:t>9</w:t>
            </w:r>
            <w:r w:rsidR="00F83573" w:rsidRPr="00F83573">
              <w:rPr>
                <w:rFonts w:ascii="Times New Roman" w:hAnsi="Times New Roman"/>
                <w:sz w:val="21"/>
                <w:szCs w:val="21"/>
                <w:lang w:val="bg-BG"/>
              </w:rPr>
              <w:t>, 12182 (2015).</w:t>
            </w:r>
            <w:r w:rsidR="00F83573">
              <w:rPr>
                <w:rFonts w:ascii="Times New Roman" w:hAnsi="Times New Roman"/>
                <w:sz w:val="21"/>
                <w:szCs w:val="21"/>
                <w:lang w:val="bg-BG"/>
              </w:rPr>
              <w:t xml:space="preserve"> [3]</w:t>
            </w:r>
            <w:r w:rsidRPr="00F83573">
              <w:rPr>
                <w:rFonts w:ascii="Times New Roman" w:eastAsia="游明朝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Pr="00F83573">
              <w:rPr>
                <w:rFonts w:ascii="Times New Roman" w:hAnsi="Times New Roman" w:hint="eastAsia"/>
                <w:color w:val="000000"/>
                <w:sz w:val="21"/>
                <w:szCs w:val="21"/>
                <w:lang w:val="bg-BG"/>
              </w:rPr>
              <w:t>N</w:t>
            </w:r>
            <w:r w:rsidRP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>.</w:t>
            </w:r>
            <w:r w:rsidRPr="00F83573">
              <w:rPr>
                <w:rFonts w:ascii="Times New Roman" w:hAnsi="Times New Roman" w:hint="eastAsia"/>
                <w:color w:val="000000"/>
                <w:sz w:val="21"/>
                <w:szCs w:val="21"/>
                <w:lang w:val="bg-BG"/>
              </w:rPr>
              <w:t xml:space="preserve"> Fukata</w:t>
            </w:r>
            <w:r w:rsidR="000D747E" w:rsidRP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 xml:space="preserve"> et al.</w:t>
            </w:r>
            <w:r w:rsidRP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 xml:space="preserve">, </w:t>
            </w:r>
            <w:r w:rsidRPr="000B33A8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val="bg-BG"/>
              </w:rPr>
              <w:t>Small</w:t>
            </w:r>
            <w:r w:rsidRP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 xml:space="preserve"> </w:t>
            </w:r>
            <w:r w:rsidRPr="000B33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bg-BG"/>
              </w:rPr>
              <w:t>13</w:t>
            </w:r>
            <w:r w:rsidRP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>, 1701713 (2017). [</w:t>
            </w:r>
            <w:r w:rsid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>4</w:t>
            </w:r>
            <w:r w:rsidRPr="00F83573">
              <w:rPr>
                <w:rFonts w:ascii="Times New Roman" w:hAnsi="Times New Roman"/>
                <w:color w:val="000000"/>
                <w:sz w:val="21"/>
                <w:szCs w:val="21"/>
                <w:lang w:val="bg-BG"/>
              </w:rPr>
              <w:t xml:space="preserve">] </w:t>
            </w:r>
            <w:r w:rsidRPr="00F83573">
              <w:rPr>
                <w:rFonts w:ascii="Times New Roman" w:hAnsi="Times New Roman" w:hint="eastAsia"/>
                <w:sz w:val="21"/>
                <w:szCs w:val="21"/>
              </w:rPr>
              <w:t xml:space="preserve"> M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>.</w:t>
            </w:r>
            <w:r w:rsidRPr="00F83573">
              <w:rPr>
                <w:rFonts w:ascii="Times New Roman" w:hAnsi="Times New Roman" w:hint="eastAsia"/>
                <w:sz w:val="21"/>
                <w:szCs w:val="21"/>
              </w:rPr>
              <w:t xml:space="preserve"> Dutta, </w:t>
            </w:r>
            <w:r w:rsidR="000D747E" w:rsidRPr="00F83573">
              <w:rPr>
                <w:rFonts w:ascii="Times New Roman" w:hAnsi="Times New Roman"/>
                <w:sz w:val="21"/>
                <w:szCs w:val="21"/>
              </w:rPr>
              <w:t>et al.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0B33A8">
              <w:rPr>
                <w:rFonts w:ascii="Times New Roman" w:hAnsi="Times New Roman"/>
                <w:i/>
                <w:iCs/>
                <w:sz w:val="21"/>
                <w:szCs w:val="21"/>
              </w:rPr>
              <w:t>ACS N</w:t>
            </w:r>
            <w:r w:rsidR="000B33A8" w:rsidRPr="000B33A8">
              <w:rPr>
                <w:rFonts w:ascii="Times New Roman" w:hAnsi="Times New Roman"/>
                <w:i/>
                <w:iCs/>
                <w:sz w:val="21"/>
                <w:szCs w:val="21"/>
              </w:rPr>
              <w:t>ano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83573"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>, 6891 (2015). [</w:t>
            </w:r>
            <w:r w:rsidR="00F83573">
              <w:rPr>
                <w:rFonts w:ascii="Times New Roman" w:hAnsi="Times New Roman"/>
                <w:sz w:val="21"/>
                <w:szCs w:val="21"/>
              </w:rPr>
              <w:t>5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>] M. F. Abdelbar</w:t>
            </w:r>
            <w:r w:rsidR="000D747E" w:rsidRPr="00F83573">
              <w:rPr>
                <w:rFonts w:ascii="Times New Roman" w:hAnsi="Times New Roman"/>
                <w:sz w:val="21"/>
                <w:szCs w:val="21"/>
              </w:rPr>
              <w:t xml:space="preserve"> et al.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0B33A8">
              <w:rPr>
                <w:rFonts w:ascii="Times New Roman" w:hAnsi="Times New Roman"/>
                <w:i/>
                <w:iCs/>
                <w:sz w:val="21"/>
                <w:szCs w:val="21"/>
              </w:rPr>
              <w:t>Nano Energy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B33A8">
              <w:rPr>
                <w:rFonts w:ascii="Times New Roman" w:hAnsi="Times New Roman"/>
                <w:b/>
                <w:bCs/>
                <w:sz w:val="21"/>
                <w:szCs w:val="21"/>
              </w:rPr>
              <w:t>77</w:t>
            </w:r>
            <w:r w:rsidRPr="00F83573">
              <w:rPr>
                <w:rFonts w:ascii="Times New Roman" w:hAnsi="Times New Roman"/>
                <w:sz w:val="21"/>
                <w:szCs w:val="21"/>
              </w:rPr>
              <w:t>, 105163 (2020).</w:t>
            </w:r>
            <w:r w:rsidR="00F83573">
              <w:rPr>
                <w:rFonts w:ascii="Times New Roman" w:hAnsi="Times New Roman"/>
                <w:sz w:val="21"/>
                <w:szCs w:val="21"/>
              </w:rPr>
              <w:t xml:space="preserve"> [6] </w:t>
            </w:r>
            <w:r w:rsidR="00F83573" w:rsidRPr="00F83573">
              <w:rPr>
                <w:rFonts w:ascii="Times New Roman" w:hAnsi="Times New Roman"/>
                <w:sz w:val="21"/>
                <w:szCs w:val="21"/>
              </w:rPr>
              <w:t>Mostafa F. Abdelbar</w:t>
            </w:r>
            <w:r w:rsidR="00F83573">
              <w:rPr>
                <w:rFonts w:ascii="Times New Roman" w:hAnsi="Times New Roman"/>
                <w:sz w:val="21"/>
                <w:szCs w:val="21"/>
              </w:rPr>
              <w:t xml:space="preserve"> et al., </w:t>
            </w:r>
            <w:r w:rsidR="00F83573" w:rsidRPr="000B33A8">
              <w:rPr>
                <w:rFonts w:ascii="Times New Roman" w:hAnsi="Times New Roman"/>
                <w:i/>
                <w:iCs/>
                <w:sz w:val="21"/>
                <w:szCs w:val="21"/>
              </w:rPr>
              <w:t>Nano Energy</w:t>
            </w:r>
            <w:r w:rsidR="00F8357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3573" w:rsidRPr="000B33A8">
              <w:rPr>
                <w:b/>
                <w:bCs/>
                <w:sz w:val="21"/>
                <w:szCs w:val="21"/>
              </w:rPr>
              <w:t>89</w:t>
            </w:r>
            <w:r w:rsidR="00F83573" w:rsidRPr="00646BC4">
              <w:rPr>
                <w:sz w:val="21"/>
                <w:szCs w:val="21"/>
              </w:rPr>
              <w:t>, 106470 (2021).</w:t>
            </w:r>
          </w:p>
        </w:tc>
      </w:tr>
    </w:tbl>
    <w:p w14:paraId="55371A11" w14:textId="77777777" w:rsidR="00A051A4" w:rsidRPr="00094346" w:rsidRDefault="00A051A4" w:rsidP="004B0FFE">
      <w:pPr>
        <w:rPr>
          <w:rFonts w:ascii="Times New Roman" w:hAnsi="Times New Roman" w:cs="Times New Roman" w:hint="eastAsia"/>
          <w:b/>
          <w:sz w:val="32"/>
        </w:rPr>
      </w:pPr>
    </w:p>
    <w:sectPr w:rsidR="00A051A4" w:rsidRPr="00094346" w:rsidSect="009B0B3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1D15" w14:textId="77777777" w:rsidR="009F2D27" w:rsidRDefault="009F2D27" w:rsidP="009B0B36">
      <w:r>
        <w:separator/>
      </w:r>
    </w:p>
  </w:endnote>
  <w:endnote w:type="continuationSeparator" w:id="0">
    <w:p w14:paraId="24FDAC83" w14:textId="77777777" w:rsidR="009F2D27" w:rsidRDefault="009F2D27" w:rsidP="009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76CC" w14:textId="77777777" w:rsidR="009F2D27" w:rsidRDefault="009F2D27" w:rsidP="009B0B36">
      <w:r>
        <w:separator/>
      </w:r>
    </w:p>
  </w:footnote>
  <w:footnote w:type="continuationSeparator" w:id="0">
    <w:p w14:paraId="5B70271B" w14:textId="77777777" w:rsidR="009F2D27" w:rsidRDefault="009F2D27" w:rsidP="009B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AB25" w14:textId="0295632D" w:rsidR="009B0B36" w:rsidRDefault="009B0B3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69"/>
    <w:rsid w:val="00000BE5"/>
    <w:rsid w:val="000679FA"/>
    <w:rsid w:val="00094346"/>
    <w:rsid w:val="000B33A8"/>
    <w:rsid w:val="000D747E"/>
    <w:rsid w:val="00115A2B"/>
    <w:rsid w:val="001435B0"/>
    <w:rsid w:val="001B64DF"/>
    <w:rsid w:val="001C228F"/>
    <w:rsid w:val="001F12CA"/>
    <w:rsid w:val="002175B2"/>
    <w:rsid w:val="003D2ED4"/>
    <w:rsid w:val="004B0FFE"/>
    <w:rsid w:val="005608AC"/>
    <w:rsid w:val="00584C48"/>
    <w:rsid w:val="005C31D6"/>
    <w:rsid w:val="005D2D51"/>
    <w:rsid w:val="0063414A"/>
    <w:rsid w:val="00681674"/>
    <w:rsid w:val="00974162"/>
    <w:rsid w:val="009B0B36"/>
    <w:rsid w:val="009E2FAE"/>
    <w:rsid w:val="009F2D27"/>
    <w:rsid w:val="00A051A4"/>
    <w:rsid w:val="00A47602"/>
    <w:rsid w:val="00A57EA9"/>
    <w:rsid w:val="00B70528"/>
    <w:rsid w:val="00CF6A79"/>
    <w:rsid w:val="00DF08FD"/>
    <w:rsid w:val="00E71C02"/>
    <w:rsid w:val="00E72364"/>
    <w:rsid w:val="00F45769"/>
    <w:rsid w:val="00F8092B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EB187"/>
  <w15:chartTrackingRefBased/>
  <w15:docId w15:val="{F9F2B34C-E314-4B7F-B0B2-4D78AD47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9B0B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9B0B36"/>
    <w:rPr>
      <w:sz w:val="20"/>
      <w:szCs w:val="20"/>
    </w:rPr>
  </w:style>
  <w:style w:type="table" w:styleId="a7">
    <w:name w:val="Table Grid"/>
    <w:basedOn w:val="a1"/>
    <w:uiPriority w:val="39"/>
    <w:rsid w:val="009B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F N</cp:lastModifiedBy>
  <cp:revision>22</cp:revision>
  <dcterms:created xsi:type="dcterms:W3CDTF">2022-12-09T02:52:00Z</dcterms:created>
  <dcterms:modified xsi:type="dcterms:W3CDTF">2022-12-09T08:38:00Z</dcterms:modified>
</cp:coreProperties>
</file>