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C2" w:rsidRPr="00662CCD" w:rsidRDefault="002253C2" w:rsidP="00662CCD">
      <w:pPr>
        <w:pStyle w:val="a3"/>
        <w:spacing w:before="6"/>
        <w:jc w:val="both"/>
        <w:rPr>
          <w:rFonts w:ascii="Times New Roman" w:eastAsia="標楷體" w:hAnsi="Times New Roman" w:cs="Times New Roman"/>
          <w:sz w:val="18"/>
        </w:rPr>
      </w:pPr>
      <w:bookmarkStart w:id="0" w:name="_GoBack"/>
      <w:bookmarkEnd w:id="0"/>
    </w:p>
    <w:p w:rsidR="002253C2" w:rsidRDefault="00A25FF8" w:rsidP="00161356">
      <w:pPr>
        <w:jc w:val="both"/>
        <w:rPr>
          <w:rFonts w:ascii="Times New Roman" w:eastAsia="標楷體" w:hAnsi="Times New Roman" w:cs="Times New Roman"/>
          <w:spacing w:val="-10"/>
          <w:sz w:val="20"/>
        </w:rPr>
      </w:pPr>
      <w:r w:rsidRPr="00662CCD">
        <w:rPr>
          <w:rFonts w:ascii="Times New Roman" w:eastAsia="標楷體" w:hAnsi="Times New Roman" w:cs="Times New Roman"/>
          <w:spacing w:val="-8"/>
          <w:sz w:val="32"/>
        </w:rPr>
        <w:t>國立中興大學</w:t>
      </w:r>
      <w:r w:rsidR="005D5055">
        <w:rPr>
          <w:rFonts w:ascii="Times New Roman" w:eastAsia="標楷體" w:hAnsi="Times New Roman" w:cs="Times New Roman" w:hint="eastAsia"/>
          <w:spacing w:val="-10"/>
          <w:sz w:val="32"/>
        </w:rPr>
        <w:t>電機資訊</w:t>
      </w:r>
      <w:r w:rsidR="005D5055" w:rsidRPr="00662CCD">
        <w:rPr>
          <w:rFonts w:ascii="Times New Roman" w:eastAsia="標楷體" w:hAnsi="Times New Roman" w:cs="Times New Roman"/>
          <w:spacing w:val="-10"/>
          <w:sz w:val="32"/>
        </w:rPr>
        <w:t>學院</w:t>
      </w:r>
      <w:r w:rsidRPr="00662CCD">
        <w:rPr>
          <w:rFonts w:ascii="Times New Roman" w:eastAsia="標楷體" w:hAnsi="Times New Roman" w:cs="Times New Roman"/>
          <w:spacing w:val="-8"/>
          <w:sz w:val="32"/>
        </w:rPr>
        <w:t>特聘教授</w:t>
      </w:r>
      <w:r w:rsidRPr="001E5193">
        <w:rPr>
          <w:rFonts w:ascii="Times New Roman" w:eastAsia="標楷體" w:hAnsi="Times New Roman" w:cs="Times New Roman"/>
          <w:sz w:val="32"/>
        </w:rPr>
        <w:t>III</w:t>
      </w:r>
      <w:r w:rsidRPr="001E5193">
        <w:rPr>
          <w:rFonts w:ascii="Times New Roman" w:eastAsia="標楷體" w:hAnsi="Times New Roman" w:cs="Times New Roman"/>
          <w:spacing w:val="-24"/>
          <w:sz w:val="32"/>
        </w:rPr>
        <w:t>暨優聘教師</w:t>
      </w:r>
      <w:r w:rsidRPr="001E5193">
        <w:rPr>
          <w:rFonts w:ascii="Times New Roman" w:eastAsia="標楷體" w:hAnsi="Times New Roman" w:cs="Times New Roman"/>
          <w:sz w:val="32"/>
        </w:rPr>
        <w:t>III</w:t>
      </w:r>
      <w:r w:rsidRPr="00662CCD">
        <w:rPr>
          <w:rFonts w:ascii="Times New Roman" w:eastAsia="標楷體" w:hAnsi="Times New Roman" w:cs="Times New Roman"/>
          <w:spacing w:val="-10"/>
          <w:sz w:val="32"/>
        </w:rPr>
        <w:t>學術研究表現審議標準</w:t>
      </w:r>
    </w:p>
    <w:p w:rsidR="00144704" w:rsidRPr="00144704" w:rsidRDefault="00144704" w:rsidP="00161356">
      <w:pPr>
        <w:jc w:val="both"/>
        <w:rPr>
          <w:rFonts w:ascii="Times New Roman" w:eastAsia="標楷體" w:hAnsi="Times New Roman" w:cs="Times New Roman"/>
          <w:spacing w:val="-10"/>
          <w:sz w:val="8"/>
        </w:rPr>
      </w:pPr>
    </w:p>
    <w:p w:rsidR="00662CCD" w:rsidRDefault="00144704" w:rsidP="00144704">
      <w:pPr>
        <w:ind w:left="524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107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12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18</w:t>
      </w:r>
      <w:r>
        <w:rPr>
          <w:rFonts w:ascii="Times New Roman" w:eastAsia="標楷體" w:hAnsi="Times New Roman" w:cs="Times New Roman" w:hint="eastAsia"/>
          <w:sz w:val="20"/>
        </w:rPr>
        <w:t>日臨時院務會議通過</w:t>
      </w:r>
    </w:p>
    <w:p w:rsidR="00144704" w:rsidRPr="00144704" w:rsidRDefault="00144704" w:rsidP="00144704">
      <w:pPr>
        <w:ind w:left="524"/>
        <w:jc w:val="right"/>
        <w:rPr>
          <w:rFonts w:ascii="Times New Roman" w:eastAsia="標楷體" w:hAnsi="Times New Roman" w:cs="Times New Roman"/>
          <w:sz w:val="8"/>
        </w:rPr>
      </w:pPr>
    </w:p>
    <w:p w:rsidR="002253C2" w:rsidRPr="00662CCD" w:rsidRDefault="00A25FF8" w:rsidP="00662CCD">
      <w:pPr>
        <w:pStyle w:val="a3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  <w:spacing w:val="-16"/>
        </w:rPr>
        <w:t>申請特聘教授</w:t>
      </w:r>
      <w:r w:rsidRPr="001E5193">
        <w:rPr>
          <w:rFonts w:ascii="Times New Roman" w:eastAsia="標楷體" w:hAnsi="Times New Roman" w:cs="Times New Roman"/>
        </w:rPr>
        <w:t>III(</w:t>
      </w:r>
      <w:r w:rsidRPr="001E5193">
        <w:rPr>
          <w:rFonts w:ascii="Times New Roman" w:eastAsia="標楷體" w:hAnsi="Times New Roman" w:cs="Times New Roman"/>
          <w:spacing w:val="-13"/>
        </w:rPr>
        <w:t>優聘教師</w:t>
      </w:r>
      <w:r w:rsidRPr="001E5193">
        <w:rPr>
          <w:rFonts w:ascii="Times New Roman" w:eastAsia="標楷體" w:hAnsi="Times New Roman" w:cs="Times New Roman"/>
        </w:rPr>
        <w:t>III)</w:t>
      </w:r>
      <w:r w:rsidRPr="00662CCD">
        <w:rPr>
          <w:rFonts w:ascii="Times New Roman" w:eastAsia="標楷體" w:hAnsi="Times New Roman" w:cs="Times New Roman"/>
        </w:rPr>
        <w:t>之學術研究表現</w:t>
      </w:r>
      <w:r w:rsidRPr="00662CCD">
        <w:rPr>
          <w:rFonts w:ascii="Times New Roman" w:eastAsia="標楷體" w:hAnsi="Times New Roman" w:cs="Times New Roman"/>
          <w:u w:val="single"/>
        </w:rPr>
        <w:t>審議</w:t>
      </w:r>
      <w:r w:rsidRPr="00662CCD">
        <w:rPr>
          <w:rFonts w:ascii="Times New Roman" w:eastAsia="標楷體" w:hAnsi="Times New Roman" w:cs="Times New Roman"/>
          <w:spacing w:val="-9"/>
        </w:rPr>
        <w:t>標準，依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一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  <w:spacing w:val="-5"/>
        </w:rPr>
        <w:t>高引用論文、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二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國際期刊論文</w:t>
      </w:r>
      <w:r w:rsidRPr="00662CCD">
        <w:rPr>
          <w:rFonts w:ascii="Times New Roman" w:eastAsia="標楷體" w:hAnsi="Times New Roman" w:cs="Times New Roman"/>
        </w:rPr>
        <w:t>/</w:t>
      </w:r>
      <w:r w:rsidRPr="00662CCD">
        <w:rPr>
          <w:rFonts w:ascii="Times New Roman" w:eastAsia="標楷體" w:hAnsi="Times New Roman" w:cs="Times New Roman"/>
        </w:rPr>
        <w:t>專書著作</w:t>
      </w:r>
      <w:r w:rsidRPr="00662CCD">
        <w:rPr>
          <w:rFonts w:ascii="Times New Roman" w:eastAsia="標楷體" w:hAnsi="Times New Roman" w:cs="Times New Roman"/>
        </w:rPr>
        <w:t>/</w:t>
      </w:r>
      <w:r w:rsidRPr="00662CCD">
        <w:rPr>
          <w:rFonts w:ascii="Times New Roman" w:eastAsia="標楷體" w:hAnsi="Times New Roman" w:cs="Times New Roman"/>
          <w:spacing w:val="12"/>
        </w:rPr>
        <w:t>專書章節、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三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智慧財產權、技術移轉及新品種權、及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四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具體學術成就與貢獻事蹟，合計點數評定之，各項之計點標準如下。</w:t>
      </w:r>
    </w:p>
    <w:p w:rsidR="002253C2" w:rsidRPr="00662CCD" w:rsidRDefault="00A25FF8" w:rsidP="00662CCD">
      <w:pPr>
        <w:pStyle w:val="a3"/>
        <w:numPr>
          <w:ilvl w:val="0"/>
          <w:numId w:val="3"/>
        </w:numPr>
        <w:ind w:left="482" w:hanging="482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高引用論文</w:t>
      </w:r>
      <w:r w:rsidR="00662CCD">
        <w:rPr>
          <w:rFonts w:ascii="Times New Roman" w:eastAsia="標楷體" w:hAnsi="Times New Roman" w:cs="Times New Roman"/>
        </w:rPr>
        <w:t>:</w:t>
      </w:r>
      <w:r w:rsidRPr="00662CCD">
        <w:rPr>
          <w:rFonts w:ascii="Times New Roman" w:eastAsia="標楷體" w:hAnsi="Times New Roman" w:cs="Times New Roman"/>
          <w:spacing w:val="-15"/>
        </w:rPr>
        <w:t>以本校</w:t>
      </w:r>
      <w:r w:rsidRPr="00662CCD">
        <w:rPr>
          <w:rFonts w:ascii="Times New Roman" w:eastAsia="標楷體" w:hAnsi="Times New Roman" w:cs="Times New Roman"/>
        </w:rPr>
        <w:t>WOS</w:t>
      </w:r>
      <w:r w:rsidRPr="00662CCD">
        <w:rPr>
          <w:rFonts w:ascii="Times New Roman" w:eastAsia="標楷體" w:hAnsi="Times New Roman" w:cs="Times New Roman"/>
          <w:spacing w:val="-1"/>
        </w:rPr>
        <w:t>(</w:t>
      </w:r>
      <w:r w:rsidRPr="00662CCD">
        <w:rPr>
          <w:rFonts w:ascii="Times New Roman" w:eastAsia="標楷體" w:hAnsi="Times New Roman" w:cs="Times New Roman"/>
        </w:rPr>
        <w:t>ISI Web of Knowledge: Web of Science)</w:t>
      </w:r>
      <w:r w:rsidRPr="00662CCD">
        <w:rPr>
          <w:rFonts w:ascii="Times New Roman" w:eastAsia="標楷體" w:hAnsi="Times New Roman" w:cs="Times New Roman"/>
          <w:spacing w:val="-11"/>
        </w:rPr>
        <w:t>最新資料庫紀錄為依據，由下列兩項合計之。</w:t>
      </w:r>
    </w:p>
    <w:p w:rsidR="00662CCD" w:rsidRDefault="00A25FF8" w:rsidP="00662CCD">
      <w:pPr>
        <w:pStyle w:val="a4"/>
        <w:numPr>
          <w:ilvl w:val="0"/>
          <w:numId w:val="2"/>
        </w:numPr>
        <w:tabs>
          <w:tab w:val="left" w:pos="924"/>
        </w:tabs>
        <w:ind w:leftChars="350" w:left="890" w:hangingChars="50" w:hanging="120"/>
        <w:jc w:val="both"/>
        <w:rPr>
          <w:rFonts w:ascii="Times New Roman" w:eastAsia="標楷體" w:hAnsi="Times New Roman" w:cs="Times New Roman"/>
          <w:sz w:val="24"/>
          <w:u w:val="none"/>
        </w:rPr>
      </w:pPr>
      <w:r w:rsidRPr="00662CCD">
        <w:rPr>
          <w:rFonts w:ascii="Times New Roman" w:eastAsia="標楷體" w:hAnsi="Times New Roman" w:cs="Times New Roman"/>
          <w:sz w:val="24"/>
          <w:u w:val="none"/>
        </w:rPr>
        <w:t>發表且均為第一作者或通訊作者之論文，</w:t>
      </w:r>
      <w:r w:rsidRPr="001E5193">
        <w:rPr>
          <w:rFonts w:ascii="Times New Roman" w:eastAsia="標楷體" w:hAnsi="Times New Roman" w:cs="Times New Roman"/>
          <w:spacing w:val="-31"/>
          <w:sz w:val="24"/>
          <w:u w:val="none"/>
        </w:rPr>
        <w:t>近</w:t>
      </w:r>
      <w:r w:rsidR="00662CCD" w:rsidRPr="001E5193">
        <w:rPr>
          <w:rFonts w:ascii="Times New Roman" w:eastAsia="標楷體" w:hAnsi="Times New Roman" w:cs="Times New Roman"/>
          <w:sz w:val="24"/>
          <w:u w:val="none"/>
        </w:rPr>
        <w:t>10</w:t>
      </w:r>
      <w:r w:rsidRPr="001E5193">
        <w:rPr>
          <w:rFonts w:ascii="Times New Roman" w:eastAsia="標楷體" w:hAnsi="Times New Roman" w:cs="Times New Roman"/>
          <w:sz w:val="24"/>
          <w:u w:val="none"/>
        </w:rPr>
        <w:t>年被</w:t>
      </w:r>
      <w:r w:rsidRPr="00662CCD">
        <w:rPr>
          <w:rFonts w:ascii="Times New Roman" w:eastAsia="標楷體" w:hAnsi="Times New Roman" w:cs="Times New Roman"/>
          <w:spacing w:val="-10"/>
          <w:sz w:val="24"/>
          <w:u w:val="none"/>
        </w:rPr>
        <w:t>引用次數達</w:t>
      </w:r>
      <w:r w:rsidR="00662CCD">
        <w:rPr>
          <w:rFonts w:ascii="Times New Roman" w:eastAsia="標楷體" w:hAnsi="Times New Roman" w:cs="Times New Roman"/>
          <w:sz w:val="24"/>
          <w:u w:val="none"/>
        </w:rPr>
        <w:t>10</w:t>
      </w:r>
      <w:r w:rsidRPr="00662CCD">
        <w:rPr>
          <w:rFonts w:ascii="Times New Roman" w:eastAsia="標楷體" w:hAnsi="Times New Roman" w:cs="Times New Roman"/>
          <w:sz w:val="24"/>
          <w:u w:val="none"/>
        </w:rPr>
        <w:t>次以上者始列入</w:t>
      </w:r>
      <w:r w:rsidRPr="00662CCD">
        <w:rPr>
          <w:rFonts w:ascii="Times New Roman" w:eastAsia="標楷體" w:hAnsi="Times New Roman" w:cs="Times New Roman"/>
          <w:spacing w:val="-7"/>
          <w:sz w:val="24"/>
          <w:u w:val="none"/>
        </w:rPr>
        <w:t>計點。該篇論文近</w:t>
      </w:r>
      <w:r w:rsidR="00662CCD">
        <w:rPr>
          <w:rFonts w:ascii="Times New Roman" w:eastAsia="標楷體" w:hAnsi="Times New Roman" w:cs="Times New Roman"/>
          <w:sz w:val="24"/>
          <w:u w:val="none"/>
        </w:rPr>
        <w:t>10</w:t>
      </w:r>
      <w:r w:rsidRPr="00662CCD">
        <w:rPr>
          <w:rFonts w:ascii="Times New Roman" w:eastAsia="標楷體" w:hAnsi="Times New Roman" w:cs="Times New Roman"/>
          <w:spacing w:val="-6"/>
          <w:sz w:val="24"/>
          <w:u w:val="none"/>
        </w:rPr>
        <w:t>年總被引用次數除以</w:t>
      </w:r>
      <w:r w:rsidRPr="00662CCD">
        <w:rPr>
          <w:rFonts w:ascii="Times New Roman" w:eastAsia="標楷體" w:hAnsi="Times New Roman" w:cs="Times New Roman"/>
          <w:sz w:val="24"/>
          <w:u w:val="none"/>
        </w:rPr>
        <w:t>5</w:t>
      </w:r>
      <w:r w:rsidRPr="00662CCD">
        <w:rPr>
          <w:rFonts w:ascii="Times New Roman" w:eastAsia="標楷體" w:hAnsi="Times New Roman" w:cs="Times New Roman"/>
          <w:sz w:val="24"/>
          <w:u w:val="none"/>
        </w:rPr>
        <w:t>，即為該篇論文之點數。</w:t>
      </w:r>
    </w:p>
    <w:p w:rsidR="002253C2" w:rsidRPr="00662CCD" w:rsidRDefault="00662CCD" w:rsidP="00662CCD">
      <w:pPr>
        <w:pStyle w:val="a4"/>
        <w:numPr>
          <w:ilvl w:val="0"/>
          <w:numId w:val="2"/>
        </w:numPr>
        <w:tabs>
          <w:tab w:val="left" w:pos="924"/>
        </w:tabs>
        <w:ind w:leftChars="350" w:left="890" w:hangingChars="50" w:hanging="120"/>
        <w:jc w:val="both"/>
        <w:rPr>
          <w:rFonts w:ascii="Times New Roman" w:eastAsia="標楷體" w:hAnsi="Times New Roman" w:cs="Times New Roman"/>
          <w:sz w:val="24"/>
          <w:u w:val="none"/>
        </w:rPr>
      </w:pPr>
      <w:r w:rsidRPr="00662CCD">
        <w:rPr>
          <w:rFonts w:ascii="Times New Roman" w:eastAsia="標楷體" w:hAnsi="Times New Roman" w:cs="Times New Roman"/>
          <w:sz w:val="24"/>
          <w:u w:val="none"/>
        </w:rPr>
        <w:t>H-index</w:t>
      </w:r>
      <w:r w:rsidR="00A25FF8" w:rsidRPr="00662CCD">
        <w:rPr>
          <w:rFonts w:ascii="Times New Roman" w:eastAsia="標楷體" w:hAnsi="Times New Roman" w:cs="Times New Roman"/>
          <w:spacing w:val="-15"/>
          <w:sz w:val="24"/>
          <w:u w:val="none"/>
        </w:rPr>
        <w:t>值乘以</w:t>
      </w:r>
      <w:r w:rsidRPr="00662CCD">
        <w:rPr>
          <w:rFonts w:ascii="Times New Roman" w:eastAsia="標楷體" w:hAnsi="Times New Roman" w:cs="Times New Roman"/>
          <w:sz w:val="24"/>
          <w:u w:val="none"/>
        </w:rPr>
        <w:t>5</w:t>
      </w:r>
      <w:r w:rsidR="00A25FF8" w:rsidRPr="00662CCD">
        <w:rPr>
          <w:rFonts w:ascii="Times New Roman" w:eastAsia="標楷體" w:hAnsi="Times New Roman" w:cs="Times New Roman"/>
          <w:sz w:val="24"/>
          <w:u w:val="none"/>
        </w:rPr>
        <w:t>即為點數。</w:t>
      </w:r>
    </w:p>
    <w:p w:rsidR="002253C2" w:rsidRPr="00662CCD" w:rsidRDefault="00A25FF8" w:rsidP="00662CCD">
      <w:pPr>
        <w:pStyle w:val="a3"/>
        <w:numPr>
          <w:ilvl w:val="0"/>
          <w:numId w:val="3"/>
        </w:numPr>
        <w:ind w:left="482" w:hanging="482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國際期刊論文</w:t>
      </w:r>
      <w:r w:rsidRPr="00662CCD">
        <w:rPr>
          <w:rFonts w:ascii="Times New Roman" w:eastAsia="標楷體" w:hAnsi="Times New Roman" w:cs="Times New Roman"/>
        </w:rPr>
        <w:t>/</w:t>
      </w:r>
      <w:r w:rsidRPr="00662CCD">
        <w:rPr>
          <w:rFonts w:ascii="Times New Roman" w:eastAsia="標楷體" w:hAnsi="Times New Roman" w:cs="Times New Roman"/>
        </w:rPr>
        <w:t>專書著作</w:t>
      </w:r>
      <w:r w:rsidRPr="00662CCD">
        <w:rPr>
          <w:rFonts w:ascii="Times New Roman" w:eastAsia="標楷體" w:hAnsi="Times New Roman" w:cs="Times New Roman"/>
        </w:rPr>
        <w:t>/</w:t>
      </w:r>
      <w:r w:rsidRPr="00662CCD">
        <w:rPr>
          <w:rFonts w:ascii="Times New Roman" w:eastAsia="標楷體" w:hAnsi="Times New Roman" w:cs="Times New Roman"/>
        </w:rPr>
        <w:t>專書章節：</w:t>
      </w:r>
    </w:p>
    <w:p w:rsidR="002253C2" w:rsidRPr="00662CCD" w:rsidRDefault="00A25FF8" w:rsidP="00662CCD">
      <w:pPr>
        <w:pStyle w:val="a4"/>
        <w:numPr>
          <w:ilvl w:val="0"/>
          <w:numId w:val="5"/>
        </w:numPr>
        <w:tabs>
          <w:tab w:val="left" w:pos="924"/>
        </w:tabs>
        <w:ind w:leftChars="350" w:left="890" w:hangingChars="50" w:hanging="120"/>
        <w:jc w:val="both"/>
        <w:rPr>
          <w:rFonts w:ascii="Times New Roman" w:eastAsia="標楷體" w:hAnsi="Times New Roman" w:cs="Times New Roman"/>
          <w:sz w:val="24"/>
          <w:u w:val="none"/>
        </w:rPr>
      </w:pPr>
      <w:r w:rsidRPr="00662CCD">
        <w:rPr>
          <w:rFonts w:ascii="Times New Roman" w:eastAsia="標楷體" w:hAnsi="Times New Roman" w:cs="Times New Roman"/>
          <w:sz w:val="24"/>
          <w:u w:val="none"/>
        </w:rPr>
        <w:t>國際期刊論文：指</w:t>
      </w:r>
      <w:r w:rsidR="00662CCD">
        <w:rPr>
          <w:rFonts w:ascii="Times New Roman" w:eastAsia="標楷體" w:hAnsi="Times New Roman" w:cs="Times New Roman"/>
          <w:sz w:val="24"/>
          <w:u w:val="none"/>
        </w:rPr>
        <w:t>5</w:t>
      </w:r>
      <w:r w:rsidRPr="00662CCD">
        <w:rPr>
          <w:rFonts w:ascii="Times New Roman" w:eastAsia="標楷體" w:hAnsi="Times New Roman" w:cs="Times New Roman"/>
          <w:sz w:val="24"/>
          <w:u w:val="none"/>
        </w:rPr>
        <w:t>年內屬</w:t>
      </w:r>
      <w:r w:rsidR="00662CCD">
        <w:rPr>
          <w:rFonts w:ascii="Times New Roman" w:eastAsia="標楷體" w:hAnsi="Times New Roman" w:cs="Times New Roman"/>
          <w:sz w:val="24"/>
          <w:u w:val="none"/>
        </w:rPr>
        <w:t>SCI</w:t>
      </w:r>
      <w:r w:rsidRPr="00662CCD">
        <w:rPr>
          <w:rFonts w:ascii="Times New Roman" w:eastAsia="標楷體" w:hAnsi="Times New Roman" w:cs="Times New Roman"/>
          <w:sz w:val="24"/>
          <w:u w:val="none"/>
        </w:rPr>
        <w:t>或</w:t>
      </w:r>
      <w:r w:rsidR="00662CCD">
        <w:rPr>
          <w:rFonts w:ascii="Times New Roman" w:eastAsia="標楷體" w:hAnsi="Times New Roman" w:cs="Times New Roman"/>
          <w:sz w:val="24"/>
          <w:u w:val="none"/>
        </w:rPr>
        <w:t>SSCI</w:t>
      </w:r>
      <w:r w:rsidRPr="00662CCD">
        <w:rPr>
          <w:rFonts w:ascii="Times New Roman" w:eastAsia="標楷體" w:hAnsi="Times New Roman" w:cs="Times New Roman"/>
          <w:sz w:val="24"/>
          <w:u w:val="none"/>
        </w:rPr>
        <w:t>國際期刊論文，且需為第一作者或通訊作者。同一篇期刊論文依下述類別擇一計點。</w:t>
      </w:r>
    </w:p>
    <w:p w:rsidR="00662CCD" w:rsidRDefault="00A25FF8" w:rsidP="00662CCD">
      <w:pPr>
        <w:pStyle w:val="a3"/>
        <w:ind w:left="2058" w:hanging="1179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  <w:spacing w:val="-10"/>
        </w:rPr>
        <w:t>甲類論文：刊登於</w:t>
      </w:r>
      <w:r w:rsidRPr="00662CCD">
        <w:rPr>
          <w:rFonts w:ascii="Times New Roman" w:eastAsia="標楷體" w:hAnsi="Times New Roman" w:cs="Times New Roman"/>
        </w:rPr>
        <w:t>SCI</w:t>
      </w:r>
      <w:r w:rsidRPr="00662CCD">
        <w:rPr>
          <w:rFonts w:ascii="Times New Roman" w:eastAsia="標楷體" w:hAnsi="Times New Roman" w:cs="Times New Roman"/>
          <w:spacing w:val="-15"/>
        </w:rPr>
        <w:t>期刊，以</w:t>
      </w:r>
      <w:r w:rsidRPr="00662CCD">
        <w:rPr>
          <w:rFonts w:ascii="Times New Roman" w:eastAsia="標楷體" w:hAnsi="Times New Roman" w:cs="Times New Roman"/>
        </w:rPr>
        <w:t>JCR</w:t>
      </w:r>
      <w:r w:rsidRPr="00662CCD">
        <w:rPr>
          <w:rFonts w:ascii="Times New Roman" w:eastAsia="標楷體" w:hAnsi="Times New Roman" w:cs="Times New Roman"/>
          <w:spacing w:val="-2"/>
        </w:rPr>
        <w:t>公告最新之論文期刊影響係數</w:t>
      </w:r>
      <w:r w:rsidRPr="00662CCD">
        <w:rPr>
          <w:rFonts w:ascii="Times New Roman" w:eastAsia="標楷體" w:hAnsi="Times New Roman" w:cs="Times New Roman"/>
          <w:spacing w:val="-4"/>
        </w:rPr>
        <w:t>（</w:t>
      </w:r>
      <w:r w:rsidRPr="00662CCD">
        <w:rPr>
          <w:rFonts w:ascii="Times New Roman" w:eastAsia="標楷體" w:hAnsi="Times New Roman" w:cs="Times New Roman"/>
          <w:spacing w:val="-4"/>
        </w:rPr>
        <w:t>IF</w:t>
      </w:r>
      <w:r w:rsidRPr="00662CCD">
        <w:rPr>
          <w:rFonts w:ascii="Times New Roman" w:eastAsia="標楷體" w:hAnsi="Times New Roman" w:cs="Times New Roman"/>
          <w:spacing w:val="-4"/>
        </w:rPr>
        <w:t>）</w:t>
      </w:r>
      <w:r w:rsidRPr="00662CCD">
        <w:rPr>
          <w:rFonts w:ascii="Times New Roman" w:eastAsia="標楷體" w:hAnsi="Times New Roman" w:cs="Times New Roman"/>
        </w:rPr>
        <w:t>四捨五入取至小數點後一位計點。</w:t>
      </w:r>
    </w:p>
    <w:p w:rsidR="002253C2" w:rsidRDefault="00A25FF8" w:rsidP="00662CCD">
      <w:pPr>
        <w:pStyle w:val="a3"/>
        <w:ind w:left="2058" w:hanging="1179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  <w:spacing w:val="-7"/>
        </w:rPr>
        <w:t>乙類論文：刊登於</w:t>
      </w:r>
      <w:r w:rsidR="009F17C6">
        <w:rPr>
          <w:rFonts w:ascii="Times New Roman" w:eastAsia="標楷體" w:hAnsi="Times New Roman" w:cs="Times New Roman"/>
        </w:rPr>
        <w:t>SCI</w:t>
      </w:r>
      <w:r w:rsidRPr="00662CCD">
        <w:rPr>
          <w:rFonts w:ascii="Times New Roman" w:eastAsia="標楷體" w:hAnsi="Times New Roman" w:cs="Times New Roman"/>
          <w:spacing w:val="-12"/>
        </w:rPr>
        <w:t>期刊，以</w:t>
      </w:r>
      <w:r w:rsidRPr="00662CCD">
        <w:rPr>
          <w:rFonts w:ascii="Times New Roman" w:eastAsia="標楷體" w:hAnsi="Times New Roman" w:cs="Times New Roman"/>
        </w:rPr>
        <w:t>JCR</w:t>
      </w:r>
      <w:r w:rsidRPr="00662CCD">
        <w:rPr>
          <w:rFonts w:ascii="Times New Roman" w:eastAsia="標楷體" w:hAnsi="Times New Roman" w:cs="Times New Roman"/>
          <w:spacing w:val="-1"/>
        </w:rPr>
        <w:t>公告最新之論文期刊所屬領域之排名百分比</w:t>
      </w:r>
      <w:r w:rsidRPr="00662CCD">
        <w:rPr>
          <w:rFonts w:ascii="Times New Roman" w:eastAsia="標楷體" w:hAnsi="Times New Roman" w:cs="Times New Roman"/>
        </w:rPr>
        <w:t>（</w:t>
      </w:r>
      <w:r w:rsidRPr="00662CCD">
        <w:rPr>
          <w:rFonts w:ascii="Times New Roman" w:eastAsia="標楷體" w:hAnsi="Times New Roman" w:cs="Times New Roman"/>
        </w:rPr>
        <w:t>R</w:t>
      </w:r>
      <w:r w:rsidRPr="00662CCD">
        <w:rPr>
          <w:rFonts w:ascii="Times New Roman" w:eastAsia="標楷體" w:hAnsi="Times New Roman" w:cs="Times New Roman"/>
        </w:rPr>
        <w:t>）計點，對照表如下：</w:t>
      </w:r>
    </w:p>
    <w:p w:rsidR="00662CCD" w:rsidRDefault="00662CCD" w:rsidP="00662CCD">
      <w:pPr>
        <w:pStyle w:val="a3"/>
        <w:ind w:left="2128" w:right="272" w:hanging="1179"/>
        <w:jc w:val="both"/>
        <w:rPr>
          <w:rFonts w:ascii="Times New Roman" w:eastAsia="標楷體" w:hAnsi="Times New Roman" w:cs="Times New Roman"/>
        </w:rPr>
      </w:pPr>
    </w:p>
    <w:tbl>
      <w:tblPr>
        <w:tblStyle w:val="a5"/>
        <w:tblW w:w="0" w:type="auto"/>
        <w:tblInd w:w="2128" w:type="dxa"/>
        <w:tblLook w:val="04A0" w:firstRow="1" w:lastRow="0" w:firstColumn="1" w:lastColumn="0" w:noHBand="0" w:noVBand="1"/>
      </w:tblPr>
      <w:tblGrid>
        <w:gridCol w:w="3509"/>
        <w:gridCol w:w="2757"/>
      </w:tblGrid>
      <w:tr w:rsidR="00662CCD" w:rsidTr="005F59D4">
        <w:tc>
          <w:tcPr>
            <w:tcW w:w="3509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排名百分比</w:t>
            </w:r>
            <w:r w:rsidRPr="005F59D4">
              <w:rPr>
                <w:rFonts w:ascii="Times New Roman" w:eastAsia="標楷體" w:hAnsi="Times New Roman" w:cs="Times New Roman"/>
              </w:rPr>
              <w:t>(R)</w:t>
            </w:r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點數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5F59D4" w:rsidP="005F59D4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≤1%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12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5F59D4" w:rsidP="005F59D4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%&lt;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5F59D4" w:rsidP="005F59D4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10%&lt;R≤25%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5F59D4" w:rsidP="005F59D4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&lt;R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50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5F59D4" w:rsidP="00161356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50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%&lt;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60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161356" w:rsidP="00161356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60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%&lt;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70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0.5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161356" w:rsidP="00161356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70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%&lt;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0.3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161356" w:rsidP="00161356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&lt;R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0.2</w:t>
            </w:r>
          </w:p>
        </w:tc>
      </w:tr>
      <w:tr w:rsidR="00662CCD" w:rsidTr="005F59D4">
        <w:tc>
          <w:tcPr>
            <w:tcW w:w="3509" w:type="dxa"/>
            <w:vAlign w:val="center"/>
          </w:tcPr>
          <w:p w:rsidR="00662CCD" w:rsidRPr="005F59D4" w:rsidRDefault="00161356" w:rsidP="00161356">
            <w:pPr>
              <w:pStyle w:val="11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&lt;R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2757" w:type="dxa"/>
            <w:vAlign w:val="center"/>
          </w:tcPr>
          <w:p w:rsidR="00662CCD" w:rsidRPr="005F59D4" w:rsidRDefault="00662CCD" w:rsidP="005F59D4">
            <w:pPr>
              <w:pStyle w:val="a3"/>
              <w:ind w:right="272"/>
              <w:jc w:val="center"/>
              <w:rPr>
                <w:rFonts w:ascii="Times New Roman" w:eastAsia="標楷體" w:hAnsi="Times New Roman" w:cs="Times New Roman"/>
              </w:rPr>
            </w:pPr>
            <w:r w:rsidRPr="005F59D4">
              <w:rPr>
                <w:rFonts w:ascii="Times New Roman" w:eastAsia="標楷體" w:hAnsi="Times New Roman" w:cs="Times New Roman"/>
              </w:rPr>
              <w:t>0.1</w:t>
            </w:r>
          </w:p>
        </w:tc>
      </w:tr>
    </w:tbl>
    <w:p w:rsidR="002253C2" w:rsidRPr="00662CCD" w:rsidRDefault="00A25FF8" w:rsidP="00662CCD">
      <w:pPr>
        <w:pStyle w:val="a3"/>
        <w:spacing w:before="143"/>
        <w:ind w:left="1000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刊登於</w:t>
      </w:r>
      <w:r w:rsidR="00161356">
        <w:rPr>
          <w:rFonts w:ascii="Times New Roman" w:eastAsia="標楷體" w:hAnsi="Times New Roman" w:cs="Times New Roman"/>
        </w:rPr>
        <w:t>SSCI</w:t>
      </w:r>
      <w:r w:rsidRPr="00662CCD">
        <w:rPr>
          <w:rFonts w:ascii="Times New Roman" w:eastAsia="標楷體" w:hAnsi="Times New Roman" w:cs="Times New Roman"/>
        </w:rPr>
        <w:t>期刊者，依甲類或乙類論文標準之</w:t>
      </w:r>
      <w:r w:rsidR="00161356">
        <w:rPr>
          <w:rFonts w:ascii="Times New Roman" w:eastAsia="標楷體" w:hAnsi="Times New Roman" w:cs="Times New Roman"/>
        </w:rPr>
        <w:t>1.5</w:t>
      </w:r>
      <w:r w:rsidRPr="00662CCD">
        <w:rPr>
          <w:rFonts w:ascii="Times New Roman" w:eastAsia="標楷體" w:hAnsi="Times New Roman" w:cs="Times New Roman"/>
        </w:rPr>
        <w:t>倍計算點數。</w:t>
      </w:r>
    </w:p>
    <w:p w:rsidR="002253C2" w:rsidRPr="00662CCD" w:rsidRDefault="00A25FF8" w:rsidP="00161356">
      <w:pPr>
        <w:pStyle w:val="a3"/>
        <w:spacing w:before="85"/>
        <w:ind w:left="1000" w:right="273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  <w:spacing w:val="-6"/>
        </w:rPr>
        <w:t>特別類論文：刊登於</w:t>
      </w:r>
      <w:r w:rsidR="00161356">
        <w:rPr>
          <w:rFonts w:ascii="Times New Roman" w:eastAsia="標楷體" w:hAnsi="Times New Roman" w:cs="Times New Roman"/>
        </w:rPr>
        <w:t>SCIENCE</w:t>
      </w:r>
      <w:r w:rsidRPr="00662CCD">
        <w:rPr>
          <w:rFonts w:ascii="Times New Roman" w:eastAsia="標楷體" w:hAnsi="Times New Roman" w:cs="Times New Roman"/>
          <w:spacing w:val="-30"/>
        </w:rPr>
        <w:t>及</w:t>
      </w:r>
      <w:r w:rsidR="00161356">
        <w:rPr>
          <w:rFonts w:ascii="Times New Roman" w:eastAsia="標楷體" w:hAnsi="Times New Roman" w:cs="Times New Roman"/>
        </w:rPr>
        <w:t>NATURE</w:t>
      </w:r>
      <w:r w:rsidRPr="00662CCD">
        <w:rPr>
          <w:rFonts w:ascii="Times New Roman" w:eastAsia="標楷體" w:hAnsi="Times New Roman" w:cs="Times New Roman"/>
          <w:spacing w:val="-9"/>
        </w:rPr>
        <w:t>期刊，每篇計</w:t>
      </w:r>
      <w:r w:rsidR="00161356">
        <w:rPr>
          <w:rFonts w:ascii="Times New Roman" w:eastAsia="標楷體" w:hAnsi="Times New Roman" w:cs="Times New Roman"/>
        </w:rPr>
        <w:t>50</w:t>
      </w:r>
      <w:r w:rsidRPr="00662CCD">
        <w:rPr>
          <w:rFonts w:ascii="Times New Roman" w:eastAsia="標楷體" w:hAnsi="Times New Roman" w:cs="Times New Roman"/>
        </w:rPr>
        <w:t>點；若非第一作者或通訊作者，</w:t>
      </w:r>
      <w:r w:rsidRPr="00662CCD">
        <w:rPr>
          <w:rFonts w:ascii="Times New Roman" w:eastAsia="標楷體" w:hAnsi="Times New Roman" w:cs="Times New Roman"/>
          <w:spacing w:val="-4"/>
        </w:rPr>
        <w:t>則依作者排序遞減計點，第二作者每篇計</w:t>
      </w:r>
      <w:r w:rsidR="00161356">
        <w:rPr>
          <w:rFonts w:ascii="Times New Roman" w:eastAsia="標楷體" w:hAnsi="Times New Roman" w:cs="Times New Roman"/>
        </w:rPr>
        <w:t>25</w:t>
      </w:r>
      <w:r w:rsidRPr="00662CCD">
        <w:rPr>
          <w:rFonts w:ascii="Times New Roman" w:eastAsia="標楷體" w:hAnsi="Times New Roman" w:cs="Times New Roman"/>
          <w:spacing w:val="-6"/>
        </w:rPr>
        <w:t>點，第三作者每篇計</w:t>
      </w:r>
      <w:r w:rsidR="00161356">
        <w:rPr>
          <w:rFonts w:ascii="Times New Roman" w:eastAsia="標楷體" w:hAnsi="Times New Roman" w:cs="Times New Roman"/>
        </w:rPr>
        <w:t>12.5</w:t>
      </w:r>
      <w:r w:rsidRPr="00662CCD">
        <w:rPr>
          <w:rFonts w:ascii="Times New Roman" w:eastAsia="標楷體" w:hAnsi="Times New Roman" w:cs="Times New Roman"/>
        </w:rPr>
        <w:t>點，第四作者及之後序位每篇計</w:t>
      </w:r>
      <w:r w:rsidR="00161356">
        <w:rPr>
          <w:rFonts w:ascii="Times New Roman" w:eastAsia="標楷體" w:hAnsi="Times New Roman" w:cs="Times New Roman"/>
        </w:rPr>
        <w:t>6</w:t>
      </w:r>
      <w:r w:rsidRPr="00662CCD">
        <w:rPr>
          <w:rFonts w:ascii="Times New Roman" w:eastAsia="標楷體" w:hAnsi="Times New Roman" w:cs="Times New Roman"/>
        </w:rPr>
        <w:t>點。</w:t>
      </w:r>
    </w:p>
    <w:p w:rsidR="00161356" w:rsidRDefault="00A25FF8" w:rsidP="00161356">
      <w:pPr>
        <w:pStyle w:val="a4"/>
        <w:numPr>
          <w:ilvl w:val="0"/>
          <w:numId w:val="5"/>
        </w:numPr>
        <w:tabs>
          <w:tab w:val="left" w:pos="924"/>
        </w:tabs>
        <w:ind w:leftChars="350" w:left="890" w:hangingChars="50" w:hanging="120"/>
        <w:jc w:val="both"/>
        <w:rPr>
          <w:rFonts w:ascii="Times New Roman" w:eastAsia="標楷體" w:hAnsi="Times New Roman" w:cs="Times New Roman"/>
          <w:sz w:val="24"/>
          <w:u w:val="none"/>
        </w:rPr>
      </w:pPr>
      <w:r w:rsidRPr="00161356">
        <w:rPr>
          <w:rFonts w:ascii="Times New Roman" w:eastAsia="標楷體" w:hAnsi="Times New Roman" w:cs="Times New Roman"/>
          <w:sz w:val="24"/>
          <w:u w:val="none"/>
        </w:rPr>
        <w:t>專書著作</w:t>
      </w:r>
      <w:r w:rsidRPr="00161356">
        <w:rPr>
          <w:rFonts w:ascii="Times New Roman" w:eastAsia="標楷體" w:hAnsi="Times New Roman" w:cs="Times New Roman"/>
          <w:sz w:val="24"/>
          <w:u w:val="none"/>
        </w:rPr>
        <w:t>/</w:t>
      </w:r>
      <w:r w:rsidRPr="00161356">
        <w:rPr>
          <w:rFonts w:ascii="Times New Roman" w:eastAsia="標楷體" w:hAnsi="Times New Roman" w:cs="Times New Roman"/>
          <w:sz w:val="24"/>
          <w:u w:val="none"/>
        </w:rPr>
        <w:t>專書章節</w:t>
      </w:r>
      <w:r w:rsidR="00161356">
        <w:rPr>
          <w:rFonts w:ascii="Times New Roman" w:eastAsia="標楷體" w:hAnsi="Times New Roman" w:cs="Times New Roman"/>
          <w:sz w:val="24"/>
          <w:u w:val="none"/>
        </w:rPr>
        <w:t>:</w:t>
      </w:r>
      <w:r w:rsidRPr="00161356">
        <w:rPr>
          <w:rFonts w:ascii="Times New Roman" w:eastAsia="標楷體" w:hAnsi="Times New Roman" w:cs="Times New Roman"/>
          <w:sz w:val="24"/>
          <w:u w:val="none"/>
        </w:rPr>
        <w:t>由國內外學術性出版（發行）單位出版（或發行）者。專書：國內出版社發行者每部計</w:t>
      </w:r>
      <w:r w:rsidR="00161356">
        <w:rPr>
          <w:rFonts w:ascii="Times New Roman" w:eastAsia="標楷體" w:hAnsi="Times New Roman" w:cs="Times New Roman"/>
          <w:sz w:val="24"/>
          <w:u w:val="none"/>
        </w:rPr>
        <w:t>5</w:t>
      </w:r>
      <w:r w:rsidRPr="00161356">
        <w:rPr>
          <w:rFonts w:ascii="Times New Roman" w:eastAsia="標楷體" w:hAnsi="Times New Roman" w:cs="Times New Roman"/>
          <w:sz w:val="24"/>
          <w:u w:val="none"/>
        </w:rPr>
        <w:t>點，為國際出版社發行者加計</w:t>
      </w:r>
      <w:r w:rsidR="00161356">
        <w:rPr>
          <w:rFonts w:ascii="Times New Roman" w:eastAsia="標楷體" w:hAnsi="Times New Roman" w:cs="Times New Roman"/>
          <w:sz w:val="24"/>
          <w:u w:val="none"/>
        </w:rPr>
        <w:t>10</w:t>
      </w:r>
      <w:r w:rsidRPr="00161356">
        <w:rPr>
          <w:rFonts w:ascii="Times New Roman" w:eastAsia="標楷體" w:hAnsi="Times New Roman" w:cs="Times New Roman"/>
          <w:sz w:val="24"/>
          <w:u w:val="none"/>
        </w:rPr>
        <w:t>點。</w:t>
      </w:r>
    </w:p>
    <w:p w:rsidR="002253C2" w:rsidRPr="001E5193" w:rsidRDefault="00A25FF8" w:rsidP="00161356">
      <w:pPr>
        <w:pStyle w:val="a4"/>
        <w:numPr>
          <w:ilvl w:val="0"/>
          <w:numId w:val="5"/>
        </w:numPr>
        <w:tabs>
          <w:tab w:val="left" w:pos="924"/>
        </w:tabs>
        <w:ind w:leftChars="350" w:left="880" w:hangingChars="50" w:hanging="110"/>
        <w:jc w:val="both"/>
        <w:rPr>
          <w:rFonts w:ascii="Times New Roman" w:eastAsia="標楷體" w:hAnsi="Times New Roman" w:cs="Times New Roman"/>
          <w:sz w:val="24"/>
          <w:u w:val="none"/>
        </w:rPr>
      </w:pPr>
      <w:r w:rsidRPr="001E5193">
        <w:rPr>
          <w:rFonts w:ascii="Times New Roman" w:eastAsia="標楷體" w:hAnsi="Times New Roman" w:cs="Times New Roman"/>
          <w:u w:val="none"/>
        </w:rPr>
        <w:t>專書章節：國內出版社發行者每部計</w:t>
      </w:r>
      <w:r w:rsidR="00161356" w:rsidRPr="001E5193">
        <w:rPr>
          <w:rFonts w:ascii="Times New Roman" w:eastAsia="標楷體" w:hAnsi="Times New Roman" w:cs="Times New Roman"/>
          <w:u w:val="none"/>
        </w:rPr>
        <w:t>2</w:t>
      </w:r>
      <w:r w:rsidRPr="001E5193">
        <w:rPr>
          <w:rFonts w:ascii="Times New Roman" w:eastAsia="標楷體" w:hAnsi="Times New Roman" w:cs="Times New Roman"/>
          <w:u w:val="none"/>
        </w:rPr>
        <w:t>點，為國際出版社發行者加計</w:t>
      </w:r>
      <w:r w:rsidR="00161356" w:rsidRPr="001E5193">
        <w:rPr>
          <w:rFonts w:ascii="Times New Roman" w:eastAsia="標楷體" w:hAnsi="Times New Roman" w:cs="Times New Roman"/>
          <w:u w:val="none"/>
        </w:rPr>
        <w:t>2</w:t>
      </w:r>
      <w:r w:rsidRPr="001E5193">
        <w:rPr>
          <w:rFonts w:ascii="Times New Roman" w:eastAsia="標楷體" w:hAnsi="Times New Roman" w:cs="Times New Roman"/>
          <w:u w:val="none"/>
        </w:rPr>
        <w:t>點。</w:t>
      </w:r>
    </w:p>
    <w:p w:rsidR="002253C2" w:rsidRPr="00662CCD" w:rsidRDefault="00A25FF8" w:rsidP="00161356">
      <w:pPr>
        <w:pStyle w:val="a3"/>
        <w:numPr>
          <w:ilvl w:val="0"/>
          <w:numId w:val="3"/>
        </w:numPr>
        <w:ind w:left="482" w:hanging="482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智慧財產權、技術移轉、建教合作計畫管理費及新品種權：</w:t>
      </w:r>
    </w:p>
    <w:p w:rsidR="002253C2" w:rsidRPr="00662CCD" w:rsidRDefault="00161356" w:rsidP="00662CCD">
      <w:pPr>
        <w:pStyle w:val="a3"/>
        <w:spacing w:before="100"/>
        <w:ind w:left="666" w:right="13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5</w:t>
      </w:r>
      <w:r w:rsidR="00A25FF8" w:rsidRPr="00662CCD">
        <w:rPr>
          <w:rFonts w:ascii="Times New Roman" w:eastAsia="標楷體" w:hAnsi="Times New Roman" w:cs="Times New Roman"/>
        </w:rPr>
        <w:t>年內以本校為所屬專利權人或品種權人於國內外發表、建教合作計畫管理費收入及技術移轉者，</w:t>
      </w:r>
      <w:r w:rsidR="00A25FF8" w:rsidRPr="00662CCD">
        <w:rPr>
          <w:rFonts w:ascii="Times New Roman" w:eastAsia="標楷體" w:hAnsi="Times New Roman" w:cs="Times New Roman"/>
        </w:rPr>
        <w:t xml:space="preserve"> </w:t>
      </w:r>
      <w:r w:rsidR="00A25FF8" w:rsidRPr="00662CCD">
        <w:rPr>
          <w:rFonts w:ascii="Times New Roman" w:eastAsia="標楷體" w:hAnsi="Times New Roman" w:cs="Times New Roman"/>
        </w:rPr>
        <w:t>計點方式如附件一。</w:t>
      </w:r>
    </w:p>
    <w:p w:rsidR="002253C2" w:rsidRPr="00662CCD" w:rsidRDefault="00A25FF8" w:rsidP="00161356">
      <w:pPr>
        <w:pStyle w:val="a3"/>
        <w:numPr>
          <w:ilvl w:val="0"/>
          <w:numId w:val="3"/>
        </w:numPr>
        <w:ind w:left="482" w:hanging="482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具體學術成就與貢獻事蹟：</w:t>
      </w:r>
    </w:p>
    <w:p w:rsidR="002253C2" w:rsidRPr="00662CCD" w:rsidRDefault="00A25FF8" w:rsidP="00662CCD">
      <w:pPr>
        <w:pStyle w:val="a3"/>
        <w:spacing w:before="101"/>
        <w:ind w:left="666" w:right="152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由</w:t>
      </w:r>
      <w:r w:rsidRPr="00662CCD">
        <w:rPr>
          <w:rFonts w:ascii="Times New Roman" w:eastAsia="標楷體" w:hAnsi="Times New Roman" w:cs="Times New Roman"/>
          <w:u w:val="single"/>
        </w:rPr>
        <w:t>審議</w:t>
      </w:r>
      <w:r w:rsidRPr="00662CCD">
        <w:rPr>
          <w:rFonts w:ascii="Times New Roman" w:eastAsia="標楷體" w:hAnsi="Times New Roman" w:cs="Times New Roman"/>
        </w:rPr>
        <w:t>委員依具體學術成就與貢獻事蹟表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本校特聘教授</w:t>
      </w:r>
      <w:r w:rsidRPr="001E5193">
        <w:rPr>
          <w:rFonts w:ascii="Times New Roman" w:eastAsia="標楷體" w:hAnsi="Times New Roman" w:cs="Times New Roman"/>
        </w:rPr>
        <w:t>(</w:t>
      </w:r>
      <w:r w:rsidRPr="001E5193">
        <w:rPr>
          <w:rFonts w:ascii="Times New Roman" w:eastAsia="標楷體" w:hAnsi="Times New Roman" w:cs="Times New Roman"/>
        </w:rPr>
        <w:t>優聘教師</w:t>
      </w:r>
      <w:r w:rsidRPr="001E5193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申請表之附表一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綜合評定之，最高以該系所申請者上列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一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至</w:t>
      </w:r>
      <w:r w:rsidRPr="00662CCD">
        <w:rPr>
          <w:rFonts w:ascii="Times New Roman" w:eastAsia="標楷體" w:hAnsi="Times New Roman" w:cs="Times New Roman"/>
        </w:rPr>
        <w:t>(</w:t>
      </w:r>
      <w:r w:rsidRPr="00662CCD">
        <w:rPr>
          <w:rFonts w:ascii="Times New Roman" w:eastAsia="標楷體" w:hAnsi="Times New Roman" w:cs="Times New Roman"/>
        </w:rPr>
        <w:t>三</w:t>
      </w:r>
      <w:r w:rsidRPr="00662CCD">
        <w:rPr>
          <w:rFonts w:ascii="Times New Roman" w:eastAsia="標楷體" w:hAnsi="Times New Roman" w:cs="Times New Roman"/>
        </w:rPr>
        <w:t>)</w:t>
      </w:r>
      <w:r w:rsidRPr="00662CCD">
        <w:rPr>
          <w:rFonts w:ascii="Times New Roman" w:eastAsia="標楷體" w:hAnsi="Times New Roman" w:cs="Times New Roman"/>
        </w:rPr>
        <w:t>項總合點數平均值之</w:t>
      </w:r>
      <w:r w:rsidR="00161356">
        <w:rPr>
          <w:rFonts w:ascii="Times New Roman" w:eastAsia="標楷體" w:hAnsi="Times New Roman" w:cs="Times New Roman"/>
        </w:rPr>
        <w:t>10</w:t>
      </w:r>
      <w:r w:rsidRPr="00662CCD">
        <w:rPr>
          <w:rFonts w:ascii="Times New Roman" w:eastAsia="標楷體" w:hAnsi="Times New Roman" w:cs="Times New Roman"/>
        </w:rPr>
        <w:t>為上限。</w:t>
      </w:r>
    </w:p>
    <w:p w:rsidR="002253C2" w:rsidRPr="00662CCD" w:rsidRDefault="00A25FF8" w:rsidP="00662CCD">
      <w:pPr>
        <w:pStyle w:val="a3"/>
        <w:ind w:left="666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學術</w:t>
      </w:r>
      <w:r w:rsidRPr="00662CCD">
        <w:rPr>
          <w:rFonts w:ascii="Times New Roman" w:eastAsia="標楷體" w:hAnsi="Times New Roman" w:cs="Times New Roman"/>
          <w:u w:val="single"/>
        </w:rPr>
        <w:t>研究</w:t>
      </w:r>
      <w:r w:rsidRPr="00662CCD">
        <w:rPr>
          <w:rFonts w:ascii="Times New Roman" w:eastAsia="標楷體" w:hAnsi="Times New Roman" w:cs="Times New Roman"/>
        </w:rPr>
        <w:t>表現評審表如附件二。</w:t>
      </w:r>
    </w:p>
    <w:p w:rsidR="002253C2" w:rsidRPr="00161356" w:rsidRDefault="00A25FF8" w:rsidP="00161356">
      <w:pPr>
        <w:pStyle w:val="a3"/>
        <w:numPr>
          <w:ilvl w:val="0"/>
          <w:numId w:val="3"/>
        </w:numPr>
        <w:ind w:left="482" w:hanging="482"/>
        <w:jc w:val="both"/>
        <w:rPr>
          <w:rFonts w:ascii="Times New Roman" w:eastAsia="標楷體" w:hAnsi="Times New Roman" w:cs="Times New Roman"/>
        </w:rPr>
      </w:pPr>
      <w:r w:rsidRPr="00161356">
        <w:rPr>
          <w:rFonts w:ascii="Times New Roman" w:eastAsia="標楷體" w:hAnsi="Times New Roman" w:cs="Times New Roman"/>
        </w:rPr>
        <w:t>年度計算係以特聘教授</w:t>
      </w:r>
      <w:r w:rsidRPr="00161356">
        <w:rPr>
          <w:rFonts w:ascii="Times New Roman" w:eastAsia="標楷體" w:hAnsi="Times New Roman" w:cs="Times New Roman"/>
        </w:rPr>
        <w:t>(</w:t>
      </w:r>
      <w:r w:rsidRPr="00161356">
        <w:rPr>
          <w:rFonts w:ascii="Times New Roman" w:eastAsia="標楷體" w:hAnsi="Times New Roman" w:cs="Times New Roman"/>
        </w:rPr>
        <w:t>優聘教師</w:t>
      </w:r>
      <w:r w:rsidRPr="00161356">
        <w:rPr>
          <w:rFonts w:ascii="Times New Roman" w:eastAsia="標楷體" w:hAnsi="Times New Roman" w:cs="Times New Roman"/>
        </w:rPr>
        <w:t>)</w:t>
      </w:r>
      <w:r w:rsidRPr="00161356">
        <w:rPr>
          <w:rFonts w:ascii="Times New Roman" w:eastAsia="標楷體" w:hAnsi="Times New Roman" w:cs="Times New Roman"/>
        </w:rPr>
        <w:t>起聘日起計之時間為基點往前推算，如</w:t>
      </w:r>
      <w:r w:rsidRPr="00161356">
        <w:rPr>
          <w:rFonts w:ascii="Times New Roman" w:eastAsia="標楷體" w:hAnsi="Times New Roman" w:cs="Times New Roman"/>
        </w:rPr>
        <w:t>107</w:t>
      </w:r>
      <w:r w:rsidRPr="00161356">
        <w:rPr>
          <w:rFonts w:ascii="Times New Roman" w:eastAsia="標楷體" w:hAnsi="Times New Roman" w:cs="Times New Roman"/>
        </w:rPr>
        <w:t>年</w:t>
      </w:r>
      <w:r w:rsidRPr="00161356">
        <w:rPr>
          <w:rFonts w:ascii="Times New Roman" w:eastAsia="標楷體" w:hAnsi="Times New Roman" w:cs="Times New Roman"/>
        </w:rPr>
        <w:t>8</w:t>
      </w:r>
      <w:r w:rsidRPr="00161356">
        <w:rPr>
          <w:rFonts w:ascii="Times New Roman" w:eastAsia="標楷體" w:hAnsi="Times New Roman" w:cs="Times New Roman"/>
        </w:rPr>
        <w:t>月</w:t>
      </w:r>
      <w:r w:rsidRPr="00161356">
        <w:rPr>
          <w:rFonts w:ascii="Times New Roman" w:eastAsia="標楷體" w:hAnsi="Times New Roman" w:cs="Times New Roman"/>
        </w:rPr>
        <w:t>1</w:t>
      </w:r>
      <w:r w:rsidRPr="00161356">
        <w:rPr>
          <w:rFonts w:ascii="Times New Roman" w:eastAsia="標楷體" w:hAnsi="Times New Roman" w:cs="Times New Roman"/>
        </w:rPr>
        <w:t>日生效者，其五年內作品係以</w:t>
      </w:r>
      <w:r w:rsidRPr="00161356">
        <w:rPr>
          <w:rFonts w:ascii="Times New Roman" w:eastAsia="標楷體" w:hAnsi="Times New Roman" w:cs="Times New Roman"/>
        </w:rPr>
        <w:t>107</w:t>
      </w:r>
      <w:r w:rsidRPr="00161356">
        <w:rPr>
          <w:rFonts w:ascii="Times New Roman" w:eastAsia="標楷體" w:hAnsi="Times New Roman" w:cs="Times New Roman"/>
        </w:rPr>
        <w:t>年</w:t>
      </w:r>
      <w:r w:rsidRPr="00161356">
        <w:rPr>
          <w:rFonts w:ascii="Times New Roman" w:eastAsia="標楷體" w:hAnsi="Times New Roman" w:cs="Times New Roman"/>
        </w:rPr>
        <w:t>8</w:t>
      </w:r>
      <w:r w:rsidRPr="00161356">
        <w:rPr>
          <w:rFonts w:ascii="Times New Roman" w:eastAsia="標楷體" w:hAnsi="Times New Roman" w:cs="Times New Roman"/>
        </w:rPr>
        <w:t>月</w:t>
      </w:r>
      <w:r w:rsidRPr="00161356">
        <w:rPr>
          <w:rFonts w:ascii="Times New Roman" w:eastAsia="標楷體" w:hAnsi="Times New Roman" w:cs="Times New Roman"/>
        </w:rPr>
        <w:t>1</w:t>
      </w:r>
      <w:r w:rsidRPr="00161356">
        <w:rPr>
          <w:rFonts w:ascii="Times New Roman" w:eastAsia="標楷體" w:hAnsi="Times New Roman" w:cs="Times New Roman"/>
        </w:rPr>
        <w:t>日往回逆算五年，即</w:t>
      </w:r>
      <w:r w:rsidRPr="00161356">
        <w:rPr>
          <w:rFonts w:ascii="Times New Roman" w:eastAsia="標楷體" w:hAnsi="Times New Roman" w:cs="Times New Roman"/>
        </w:rPr>
        <w:t>102</w:t>
      </w:r>
      <w:r w:rsidRPr="00161356">
        <w:rPr>
          <w:rFonts w:ascii="Times New Roman" w:eastAsia="標楷體" w:hAnsi="Times New Roman" w:cs="Times New Roman"/>
        </w:rPr>
        <w:t>年</w:t>
      </w:r>
      <w:r w:rsidRPr="00161356">
        <w:rPr>
          <w:rFonts w:ascii="Times New Roman" w:eastAsia="標楷體" w:hAnsi="Times New Roman" w:cs="Times New Roman"/>
        </w:rPr>
        <w:t>8</w:t>
      </w:r>
      <w:r w:rsidRPr="00161356">
        <w:rPr>
          <w:rFonts w:ascii="Times New Roman" w:eastAsia="標楷體" w:hAnsi="Times New Roman" w:cs="Times New Roman"/>
        </w:rPr>
        <w:t>月</w:t>
      </w:r>
      <w:r w:rsidRPr="00161356">
        <w:rPr>
          <w:rFonts w:ascii="Times New Roman" w:eastAsia="標楷體" w:hAnsi="Times New Roman" w:cs="Times New Roman"/>
        </w:rPr>
        <w:t>1</w:t>
      </w:r>
      <w:r w:rsidRPr="00161356">
        <w:rPr>
          <w:rFonts w:ascii="Times New Roman" w:eastAsia="標楷體" w:hAnsi="Times New Roman" w:cs="Times New Roman"/>
        </w:rPr>
        <w:t>日為起計基點。</w:t>
      </w:r>
    </w:p>
    <w:p w:rsidR="002253C2" w:rsidRPr="00662CCD" w:rsidRDefault="002253C2" w:rsidP="00662CCD">
      <w:pPr>
        <w:jc w:val="both"/>
        <w:rPr>
          <w:rFonts w:ascii="Times New Roman" w:eastAsia="標楷體" w:hAnsi="Times New Roman" w:cs="Times New Roman"/>
        </w:rPr>
        <w:sectPr w:rsidR="002253C2" w:rsidRPr="00662CCD" w:rsidSect="00D523BF">
          <w:footerReference w:type="default" r:id="rId8"/>
          <w:pgSz w:w="11910" w:h="16840"/>
          <w:pgMar w:top="720" w:right="720" w:bottom="720" w:left="720" w:header="0" w:footer="1015" w:gutter="0"/>
          <w:cols w:space="720"/>
          <w:docGrid w:linePitch="299"/>
        </w:sectPr>
      </w:pPr>
    </w:p>
    <w:p w:rsidR="002253C2" w:rsidRPr="00662CCD" w:rsidRDefault="00A25FF8" w:rsidP="00662CCD">
      <w:pPr>
        <w:pStyle w:val="a3"/>
        <w:ind w:right="275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lastRenderedPageBreak/>
        <w:t>附件一</w:t>
      </w:r>
    </w:p>
    <w:p w:rsidR="002253C2" w:rsidRPr="00662CCD" w:rsidRDefault="00A25FF8" w:rsidP="00662CCD">
      <w:pPr>
        <w:pStyle w:val="a3"/>
        <w:ind w:left="517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智慧財產權：</w:t>
      </w:r>
    </w:p>
    <w:p w:rsidR="002253C2" w:rsidRPr="00662CCD" w:rsidRDefault="002253C2" w:rsidP="00662CCD">
      <w:pPr>
        <w:pStyle w:val="a3"/>
        <w:spacing w:before="16"/>
        <w:jc w:val="both"/>
        <w:rPr>
          <w:rFonts w:ascii="Times New Roman" w:eastAsia="標楷體" w:hAnsi="Times New Roman" w:cs="Times New Roman"/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440"/>
      </w:tblGrid>
      <w:tr w:rsidR="002253C2" w:rsidRPr="00662CCD">
        <w:trPr>
          <w:trHeight w:val="311"/>
        </w:trPr>
        <w:tc>
          <w:tcPr>
            <w:tcW w:w="5509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獲准國家</w:t>
            </w:r>
          </w:p>
        </w:tc>
        <w:tc>
          <w:tcPr>
            <w:tcW w:w="1440" w:type="dxa"/>
          </w:tcPr>
          <w:p w:rsidR="002253C2" w:rsidRPr="00662CCD" w:rsidRDefault="00A25FF8" w:rsidP="00662CCD">
            <w:pPr>
              <w:pStyle w:val="TableParagraph"/>
              <w:ind w:right="31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點數</w:t>
            </w:r>
          </w:p>
        </w:tc>
      </w:tr>
      <w:tr w:rsidR="002253C2" w:rsidRPr="00662CCD">
        <w:trPr>
          <w:trHeight w:val="311"/>
        </w:trPr>
        <w:tc>
          <w:tcPr>
            <w:tcW w:w="5509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中華民國</w:t>
            </w:r>
          </w:p>
        </w:tc>
        <w:tc>
          <w:tcPr>
            <w:tcW w:w="1440" w:type="dxa"/>
          </w:tcPr>
          <w:p w:rsidR="002253C2" w:rsidRPr="00662CCD" w:rsidRDefault="00A25FF8" w:rsidP="00662CCD">
            <w:pPr>
              <w:pStyle w:val="TableParagraph"/>
              <w:spacing w:before="11"/>
              <w:ind w:right="4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1.5</w:t>
            </w:r>
          </w:p>
        </w:tc>
      </w:tr>
      <w:tr w:rsidR="002253C2" w:rsidRPr="00662CCD">
        <w:trPr>
          <w:trHeight w:val="311"/>
        </w:trPr>
        <w:tc>
          <w:tcPr>
            <w:tcW w:w="5509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歐洲專利（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EPO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</w:tc>
        <w:tc>
          <w:tcPr>
            <w:tcW w:w="1440" w:type="dxa"/>
          </w:tcPr>
          <w:p w:rsidR="002253C2" w:rsidRPr="00662CCD" w:rsidRDefault="00A25FF8" w:rsidP="00662CCD">
            <w:pPr>
              <w:pStyle w:val="TableParagraph"/>
              <w:spacing w:before="11"/>
              <w:ind w:right="4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5.0</w:t>
            </w:r>
          </w:p>
        </w:tc>
      </w:tr>
      <w:tr w:rsidR="002253C2" w:rsidRPr="00662CCD">
        <w:trPr>
          <w:trHeight w:val="313"/>
        </w:trPr>
        <w:tc>
          <w:tcPr>
            <w:tcW w:w="5509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美國、日本、德國</w:t>
            </w:r>
          </w:p>
        </w:tc>
        <w:tc>
          <w:tcPr>
            <w:tcW w:w="1440" w:type="dxa"/>
          </w:tcPr>
          <w:p w:rsidR="002253C2" w:rsidRPr="00662CCD" w:rsidRDefault="00A25FF8" w:rsidP="00662CCD">
            <w:pPr>
              <w:pStyle w:val="TableParagraph"/>
              <w:spacing w:before="11"/>
              <w:ind w:right="4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3.5</w:t>
            </w:r>
          </w:p>
        </w:tc>
      </w:tr>
      <w:tr w:rsidR="002253C2" w:rsidRPr="00662CCD">
        <w:trPr>
          <w:trHeight w:val="623"/>
        </w:trPr>
        <w:tc>
          <w:tcPr>
            <w:tcW w:w="5509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韓國、加拿大、英國、法國、義大利、西班牙、澳</w:t>
            </w:r>
          </w:p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洲、紐西蘭</w:t>
            </w:r>
          </w:p>
        </w:tc>
        <w:tc>
          <w:tcPr>
            <w:tcW w:w="1440" w:type="dxa"/>
          </w:tcPr>
          <w:p w:rsidR="002253C2" w:rsidRPr="00662CCD" w:rsidRDefault="00A25FF8" w:rsidP="00662CCD">
            <w:pPr>
              <w:pStyle w:val="TableParagraph"/>
              <w:spacing w:before="164"/>
              <w:ind w:right="4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2.5</w:t>
            </w:r>
          </w:p>
        </w:tc>
      </w:tr>
      <w:tr w:rsidR="002253C2" w:rsidRPr="00662CCD">
        <w:trPr>
          <w:trHeight w:val="937"/>
        </w:trPr>
        <w:tc>
          <w:tcPr>
            <w:tcW w:w="5509" w:type="dxa"/>
          </w:tcPr>
          <w:p w:rsidR="002253C2" w:rsidRPr="00662CCD" w:rsidRDefault="00A25FF8" w:rsidP="00662CCD">
            <w:pPr>
              <w:pStyle w:val="TableParagraph"/>
              <w:spacing w:before="11"/>
              <w:ind w:left="107" w:right="10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新加坡、馬來西亞、菲律賓、越南、印尼、泰國、印度、以色列、墨西哥、巴西、阿根廷、智利、荷</w:t>
            </w:r>
          </w:p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蘭、比利時、瑞典、芬蘭、挪威、俄羅斯、南非</w:t>
            </w:r>
          </w:p>
        </w:tc>
        <w:tc>
          <w:tcPr>
            <w:tcW w:w="1440" w:type="dxa"/>
          </w:tcPr>
          <w:p w:rsidR="002253C2" w:rsidRPr="00662CCD" w:rsidRDefault="002253C2" w:rsidP="00662CCD">
            <w:pPr>
              <w:pStyle w:val="TableParagraph"/>
              <w:spacing w:before="4"/>
              <w:jc w:val="both"/>
              <w:rPr>
                <w:rFonts w:ascii="Times New Roman" w:eastAsia="標楷體" w:hAnsi="Times New Roman" w:cs="Times New Roman"/>
                <w:sz w:val="15"/>
              </w:rPr>
            </w:pPr>
          </w:p>
          <w:p w:rsidR="002253C2" w:rsidRPr="00662CCD" w:rsidRDefault="00A25FF8" w:rsidP="00662CCD">
            <w:pPr>
              <w:pStyle w:val="TableParagraph"/>
              <w:spacing w:before="1"/>
              <w:ind w:right="4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1.5</w:t>
            </w:r>
          </w:p>
        </w:tc>
      </w:tr>
    </w:tbl>
    <w:p w:rsidR="002253C2" w:rsidRPr="00662CCD" w:rsidRDefault="00A25FF8" w:rsidP="00662CCD">
      <w:pPr>
        <w:pStyle w:val="a3"/>
        <w:spacing w:before="149"/>
        <w:ind w:left="517"/>
        <w:jc w:val="both"/>
        <w:rPr>
          <w:rFonts w:ascii="Times New Roman" w:eastAsia="標楷體" w:hAnsi="Times New Roman" w:cs="Times New Roman"/>
        </w:rPr>
      </w:pPr>
      <w:r w:rsidRPr="00662CCD">
        <w:rPr>
          <w:rFonts w:ascii="Times New Roman" w:eastAsia="標楷體" w:hAnsi="Times New Roman" w:cs="Times New Roman"/>
        </w:rPr>
        <w:t>技術移轉：</w:t>
      </w:r>
    </w:p>
    <w:p w:rsidR="002253C2" w:rsidRPr="00662CCD" w:rsidRDefault="002253C2" w:rsidP="00662CCD">
      <w:pPr>
        <w:pStyle w:val="a3"/>
        <w:spacing w:before="16"/>
        <w:jc w:val="both"/>
        <w:rPr>
          <w:rFonts w:ascii="Times New Roman" w:eastAsia="標楷體" w:hAnsi="Times New Roman" w:cs="Times New Roman"/>
          <w:sz w:val="9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310"/>
        <w:gridCol w:w="1107"/>
        <w:gridCol w:w="987"/>
        <w:gridCol w:w="2768"/>
      </w:tblGrid>
      <w:tr w:rsidR="002253C2" w:rsidRPr="00662CCD">
        <w:trPr>
          <w:trHeight w:val="623"/>
        </w:trPr>
        <w:tc>
          <w:tcPr>
            <w:tcW w:w="1080" w:type="dxa"/>
          </w:tcPr>
          <w:p w:rsidR="002253C2" w:rsidRPr="00662CCD" w:rsidRDefault="00A25FF8" w:rsidP="00662CCD">
            <w:pPr>
              <w:pStyle w:val="TableParagraph"/>
              <w:spacing w:before="28"/>
              <w:ind w:left="29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項目</w:t>
            </w: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spacing w:before="28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金額或件數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spacing w:before="28"/>
              <w:ind w:left="1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加權</w:t>
            </w:r>
          </w:p>
        </w:tc>
        <w:tc>
          <w:tcPr>
            <w:tcW w:w="987" w:type="dxa"/>
          </w:tcPr>
          <w:p w:rsidR="002253C2" w:rsidRPr="00662CCD" w:rsidRDefault="00A25FF8" w:rsidP="00662CCD">
            <w:pPr>
              <w:pStyle w:val="TableParagraph"/>
              <w:ind w:left="1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點數</w:t>
            </w:r>
          </w:p>
          <w:p w:rsidR="002253C2" w:rsidRPr="00662CCD" w:rsidRDefault="00A25FF8" w:rsidP="00662CCD">
            <w:pPr>
              <w:pStyle w:val="TableParagraph"/>
              <w:ind w:left="10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上限</w:t>
            </w:r>
          </w:p>
        </w:tc>
        <w:tc>
          <w:tcPr>
            <w:tcW w:w="2768" w:type="dxa"/>
          </w:tcPr>
          <w:p w:rsidR="002253C2" w:rsidRPr="00662CCD" w:rsidRDefault="00A25FF8" w:rsidP="00662CCD">
            <w:pPr>
              <w:pStyle w:val="TableParagraph"/>
              <w:spacing w:before="28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備註</w:t>
            </w:r>
          </w:p>
        </w:tc>
      </w:tr>
      <w:tr w:rsidR="002253C2" w:rsidRPr="00662CCD">
        <w:trPr>
          <w:trHeight w:val="342"/>
        </w:trPr>
        <w:tc>
          <w:tcPr>
            <w:tcW w:w="1080" w:type="dxa"/>
            <w:vMerge w:val="restart"/>
          </w:tcPr>
          <w:p w:rsidR="002253C2" w:rsidRPr="00662CCD" w:rsidRDefault="002253C2" w:rsidP="00662CCD">
            <w:pPr>
              <w:pStyle w:val="TableParagraph"/>
              <w:spacing w:before="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253C2" w:rsidRPr="00662CCD" w:rsidRDefault="00A25FF8" w:rsidP="00662CCD">
            <w:pPr>
              <w:pStyle w:val="TableParagraph"/>
              <w:ind w:left="179" w:right="16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技轉實收總額</w:t>
            </w: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100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萬元以下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ind w:left="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987" w:type="dxa"/>
            <w:vMerge w:val="restart"/>
          </w:tcPr>
          <w:p w:rsidR="002253C2" w:rsidRPr="00662CCD" w:rsidRDefault="002253C2" w:rsidP="00662CCD">
            <w:pPr>
              <w:pStyle w:val="TableParagraph"/>
              <w:spacing w:before="2"/>
              <w:jc w:val="both"/>
              <w:rPr>
                <w:rFonts w:ascii="Times New Roman" w:eastAsia="標楷體" w:hAnsi="Times New Roman" w:cs="Times New Roman"/>
                <w:sz w:val="25"/>
              </w:rPr>
            </w:pPr>
          </w:p>
          <w:p w:rsidR="002253C2" w:rsidRPr="00662CCD" w:rsidRDefault="00A25FF8" w:rsidP="00662CCD">
            <w:pPr>
              <w:pStyle w:val="TableParagraph"/>
              <w:ind w:left="349" w:right="3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30</w:t>
            </w:r>
          </w:p>
        </w:tc>
        <w:tc>
          <w:tcPr>
            <w:tcW w:w="2768" w:type="dxa"/>
            <w:vMerge w:val="restart"/>
          </w:tcPr>
          <w:p w:rsidR="002253C2" w:rsidRPr="00662CCD" w:rsidRDefault="002253C2" w:rsidP="00662CC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253C2" w:rsidRPr="00662CCD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100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萬元以上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~500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313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500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萬元以上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~1000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20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1000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萬元以上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~2000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25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2000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萬元以上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30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340"/>
        </w:trPr>
        <w:tc>
          <w:tcPr>
            <w:tcW w:w="1080" w:type="dxa"/>
            <w:vMerge w:val="restart"/>
          </w:tcPr>
          <w:p w:rsidR="002253C2" w:rsidRPr="001E5193" w:rsidRDefault="00A25FF8" w:rsidP="00662CCD">
            <w:pPr>
              <w:pStyle w:val="TableParagraph"/>
              <w:spacing w:before="72"/>
              <w:ind w:left="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pacing w:val="-60"/>
                <w:sz w:val="24"/>
              </w:rPr>
              <w:t xml:space="preserve">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建教合</w:t>
            </w:r>
          </w:p>
          <w:p w:rsidR="002253C2" w:rsidRPr="001E5193" w:rsidRDefault="00A25FF8" w:rsidP="00662CCD">
            <w:pPr>
              <w:pStyle w:val="TableParagraph"/>
              <w:ind w:left="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pacing w:val="-60"/>
                <w:sz w:val="24"/>
              </w:rPr>
              <w:t xml:space="preserve">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作計畫</w:t>
            </w:r>
          </w:p>
          <w:p w:rsidR="002253C2" w:rsidRPr="001E5193" w:rsidRDefault="00A25FF8" w:rsidP="00662CCD">
            <w:pPr>
              <w:pStyle w:val="TableParagraph"/>
              <w:ind w:left="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pacing w:val="-60"/>
                <w:sz w:val="24"/>
              </w:rPr>
              <w:t xml:space="preserve">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管理費</w:t>
            </w:r>
          </w:p>
          <w:p w:rsidR="002253C2" w:rsidRPr="001E5193" w:rsidRDefault="00A25FF8" w:rsidP="00662CCD">
            <w:pPr>
              <w:pStyle w:val="TableParagraph"/>
              <w:ind w:left="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pacing w:val="-60"/>
                <w:sz w:val="24"/>
              </w:rPr>
              <w:t xml:space="preserve">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合計總</w:t>
            </w:r>
          </w:p>
          <w:p w:rsidR="002253C2" w:rsidRPr="001E5193" w:rsidRDefault="00A25FF8" w:rsidP="00662CCD">
            <w:pPr>
              <w:pStyle w:val="TableParagraph"/>
              <w:ind w:left="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pacing w:val="-60"/>
                <w:sz w:val="24"/>
              </w:rPr>
              <w:t xml:space="preserve">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金額</w:t>
            </w:r>
          </w:p>
        </w:tc>
        <w:tc>
          <w:tcPr>
            <w:tcW w:w="3310" w:type="dxa"/>
          </w:tcPr>
          <w:p w:rsidR="002253C2" w:rsidRPr="001E5193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100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萬元以下</w:t>
            </w:r>
          </w:p>
        </w:tc>
        <w:tc>
          <w:tcPr>
            <w:tcW w:w="1107" w:type="dxa"/>
          </w:tcPr>
          <w:p w:rsidR="002253C2" w:rsidRPr="001E5193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>2.5</w:t>
            </w:r>
          </w:p>
        </w:tc>
        <w:tc>
          <w:tcPr>
            <w:tcW w:w="987" w:type="dxa"/>
            <w:vMerge w:val="restart"/>
          </w:tcPr>
          <w:p w:rsidR="002253C2" w:rsidRPr="00662CCD" w:rsidRDefault="002253C2" w:rsidP="00662CCD">
            <w:pPr>
              <w:pStyle w:val="TableParagraph"/>
              <w:spacing w:before="17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  <w:p w:rsidR="002253C2" w:rsidRPr="00662CCD" w:rsidRDefault="00A25FF8" w:rsidP="00662CCD">
            <w:pPr>
              <w:pStyle w:val="TableParagraph"/>
              <w:ind w:left="349" w:right="3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  <w:u w:val="single"/>
              </w:rPr>
              <w:t>15</w:t>
            </w:r>
          </w:p>
        </w:tc>
        <w:tc>
          <w:tcPr>
            <w:tcW w:w="2768" w:type="dxa"/>
            <w:vMerge w:val="restart"/>
          </w:tcPr>
          <w:p w:rsidR="002253C2" w:rsidRPr="00662CCD" w:rsidRDefault="002253C2" w:rsidP="00662CC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253C2" w:rsidRPr="00662CCD">
        <w:trPr>
          <w:trHeight w:val="335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1E5193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1E5193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100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萬元以上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~500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</w:t>
            </w:r>
          </w:p>
        </w:tc>
        <w:tc>
          <w:tcPr>
            <w:tcW w:w="1107" w:type="dxa"/>
          </w:tcPr>
          <w:p w:rsidR="002253C2" w:rsidRPr="001E5193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>7.5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398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1E5193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1E5193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500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萬元以上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~1000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</w:t>
            </w:r>
          </w:p>
        </w:tc>
        <w:tc>
          <w:tcPr>
            <w:tcW w:w="1107" w:type="dxa"/>
          </w:tcPr>
          <w:p w:rsidR="002253C2" w:rsidRPr="001E5193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420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1E5193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1E5193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1000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萬元以上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~2000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</w:t>
            </w:r>
          </w:p>
        </w:tc>
        <w:tc>
          <w:tcPr>
            <w:tcW w:w="1107" w:type="dxa"/>
          </w:tcPr>
          <w:p w:rsidR="002253C2" w:rsidRPr="001E5193" w:rsidRDefault="00A25FF8" w:rsidP="00662CCD">
            <w:pPr>
              <w:pStyle w:val="TableParagraph"/>
              <w:ind w:left="30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>12.5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424"/>
        </w:trPr>
        <w:tc>
          <w:tcPr>
            <w:tcW w:w="1080" w:type="dxa"/>
            <w:vMerge/>
            <w:tcBorders>
              <w:top w:val="nil"/>
            </w:tcBorders>
          </w:tcPr>
          <w:p w:rsidR="002253C2" w:rsidRPr="001E5193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10" w:type="dxa"/>
          </w:tcPr>
          <w:p w:rsidR="002253C2" w:rsidRPr="001E5193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 xml:space="preserve">2000 </w:t>
            </w:r>
            <w:r w:rsidRPr="001E5193">
              <w:rPr>
                <w:rFonts w:ascii="Times New Roman" w:eastAsia="標楷體" w:hAnsi="Times New Roman" w:cs="Times New Roman"/>
                <w:sz w:val="24"/>
              </w:rPr>
              <w:t>萬元以上</w:t>
            </w:r>
          </w:p>
        </w:tc>
        <w:tc>
          <w:tcPr>
            <w:tcW w:w="1107" w:type="dxa"/>
          </w:tcPr>
          <w:p w:rsidR="002253C2" w:rsidRPr="001E5193" w:rsidRDefault="00A25FF8" w:rsidP="00662CCD">
            <w:pPr>
              <w:pStyle w:val="TableParagraph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5193"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2253C2" w:rsidRPr="00662CCD" w:rsidRDefault="002253C2" w:rsidP="00662CCD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2253C2" w:rsidRPr="00662CCD">
        <w:trPr>
          <w:trHeight w:val="2185"/>
        </w:trPr>
        <w:tc>
          <w:tcPr>
            <w:tcW w:w="1080" w:type="dxa"/>
          </w:tcPr>
          <w:p w:rsidR="002253C2" w:rsidRPr="00662CCD" w:rsidRDefault="002253C2" w:rsidP="00662CCD">
            <w:pPr>
              <w:pStyle w:val="TableParagraph"/>
              <w:spacing w:before="12"/>
              <w:jc w:val="both"/>
              <w:rPr>
                <w:rFonts w:ascii="Times New Roman" w:eastAsia="標楷體" w:hAnsi="Times New Roman" w:cs="Times New Roman"/>
              </w:rPr>
            </w:pPr>
          </w:p>
          <w:p w:rsidR="002253C2" w:rsidRPr="00662CCD" w:rsidRDefault="00A25FF8" w:rsidP="00662CCD">
            <w:pPr>
              <w:pStyle w:val="TableParagraph"/>
              <w:ind w:left="179" w:right="16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國內專利且獲技轉或授權數</w:t>
            </w:r>
          </w:p>
        </w:tc>
        <w:tc>
          <w:tcPr>
            <w:tcW w:w="3310" w:type="dxa"/>
          </w:tcPr>
          <w:p w:rsidR="002253C2" w:rsidRPr="00662CCD" w:rsidRDefault="002253C2" w:rsidP="00662CC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253C2" w:rsidRPr="00662CCD" w:rsidRDefault="002253C2" w:rsidP="00662CCD">
            <w:pPr>
              <w:pStyle w:val="TableParagraph"/>
              <w:spacing w:before="3"/>
              <w:jc w:val="both"/>
              <w:rPr>
                <w:rFonts w:ascii="Times New Roman" w:eastAsia="標楷體" w:hAnsi="Times New Roman" w:cs="Times New Roman"/>
                <w:sz w:val="14"/>
              </w:rPr>
            </w:pPr>
          </w:p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件</w:t>
            </w:r>
          </w:p>
        </w:tc>
        <w:tc>
          <w:tcPr>
            <w:tcW w:w="1107" w:type="dxa"/>
          </w:tcPr>
          <w:p w:rsidR="002253C2" w:rsidRPr="00662CCD" w:rsidRDefault="002253C2" w:rsidP="00662CC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253C2" w:rsidRPr="00662CCD" w:rsidRDefault="002253C2" w:rsidP="00662CCD">
            <w:pPr>
              <w:pStyle w:val="TableParagraph"/>
              <w:spacing w:before="3"/>
              <w:jc w:val="both"/>
              <w:rPr>
                <w:rFonts w:ascii="Times New Roman" w:eastAsia="標楷體" w:hAnsi="Times New Roman" w:cs="Times New Roman"/>
                <w:sz w:val="14"/>
              </w:rPr>
            </w:pPr>
          </w:p>
          <w:p w:rsidR="002253C2" w:rsidRPr="00662CCD" w:rsidRDefault="00A25FF8" w:rsidP="00662CCD">
            <w:pPr>
              <w:pStyle w:val="TableParagraph"/>
              <w:ind w:left="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  <w:tc>
          <w:tcPr>
            <w:tcW w:w="987" w:type="dxa"/>
          </w:tcPr>
          <w:p w:rsidR="002253C2" w:rsidRPr="00662CCD" w:rsidRDefault="002253C2" w:rsidP="00662CC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253C2" w:rsidRPr="00662CCD" w:rsidRDefault="002253C2" w:rsidP="00662CCD">
            <w:pPr>
              <w:pStyle w:val="TableParagraph"/>
              <w:spacing w:before="3"/>
              <w:jc w:val="both"/>
              <w:rPr>
                <w:rFonts w:ascii="Times New Roman" w:eastAsia="標楷體" w:hAnsi="Times New Roman" w:cs="Times New Roman"/>
                <w:sz w:val="14"/>
              </w:rPr>
            </w:pPr>
          </w:p>
          <w:p w:rsidR="002253C2" w:rsidRPr="00662CCD" w:rsidRDefault="00A25FF8" w:rsidP="00662CCD">
            <w:pPr>
              <w:pStyle w:val="TableParagraph"/>
              <w:ind w:right="42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2768" w:type="dxa"/>
          </w:tcPr>
          <w:p w:rsidR="002253C2" w:rsidRPr="00662CCD" w:rsidRDefault="00A25FF8" w:rsidP="00662CCD">
            <w:pPr>
              <w:pStyle w:val="TableParagraph"/>
              <w:spacing w:before="11"/>
              <w:ind w:left="107" w:right="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pacing w:val="16"/>
                <w:sz w:val="24"/>
              </w:rPr>
              <w:t>每一件國內技轉或授權</w:t>
            </w:r>
            <w:r w:rsidRPr="00662CCD">
              <w:rPr>
                <w:rFonts w:ascii="Times New Roman" w:eastAsia="標楷體" w:hAnsi="Times New Roman" w:cs="Times New Roman"/>
                <w:spacing w:val="-8"/>
                <w:sz w:val="24"/>
              </w:rPr>
              <w:t>案其加權分數為</w:t>
            </w:r>
            <w:r w:rsidRPr="00662CCD">
              <w:rPr>
                <w:rFonts w:ascii="Times New Roman" w:eastAsia="標楷體" w:hAnsi="Times New Roman" w:cs="Times New Roman"/>
                <w:spacing w:val="-8"/>
                <w:sz w:val="24"/>
              </w:rPr>
              <w:t xml:space="preserve">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662CCD">
              <w:rPr>
                <w:rFonts w:ascii="Times New Roman" w:eastAsia="標楷體" w:hAnsi="Times New Roman" w:cs="Times New Roman"/>
                <w:spacing w:val="-38"/>
                <w:sz w:val="24"/>
              </w:rPr>
              <w:t xml:space="preserve"> </w:t>
            </w:r>
            <w:r w:rsidRPr="00662CCD">
              <w:rPr>
                <w:rFonts w:ascii="Times New Roman" w:eastAsia="標楷體" w:hAnsi="Times New Roman" w:cs="Times New Roman"/>
                <w:spacing w:val="-38"/>
                <w:sz w:val="24"/>
              </w:rPr>
              <w:t>點，其</w:t>
            </w:r>
            <w:r w:rsidRPr="00662CCD">
              <w:rPr>
                <w:rFonts w:ascii="Times New Roman" w:eastAsia="標楷體" w:hAnsi="Times New Roman" w:cs="Times New Roman"/>
                <w:spacing w:val="-42"/>
                <w:sz w:val="24"/>
              </w:rPr>
              <w:t>上限不得超過</w:t>
            </w:r>
            <w:r w:rsidRPr="00662CCD">
              <w:rPr>
                <w:rFonts w:ascii="Times New Roman" w:eastAsia="標楷體" w:hAnsi="Times New Roman" w:cs="Times New Roman"/>
                <w:spacing w:val="-42"/>
                <w:sz w:val="24"/>
              </w:rPr>
              <w:t xml:space="preserve">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5</w:t>
            </w:r>
            <w:r w:rsidRPr="00662CC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662CCD">
              <w:rPr>
                <w:rFonts w:ascii="Times New Roman" w:eastAsia="標楷體" w:hAnsi="Times New Roman" w:cs="Times New Roman"/>
                <w:spacing w:val="-20"/>
                <w:sz w:val="24"/>
              </w:rPr>
              <w:t>點。</w:t>
            </w:r>
          </w:p>
          <w:p w:rsidR="002253C2" w:rsidRPr="00662CCD" w:rsidRDefault="00A25FF8" w:rsidP="00662CCD">
            <w:pPr>
              <w:pStyle w:val="TableParagraph"/>
              <w:spacing w:before="1"/>
              <w:ind w:left="107" w:right="9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細則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: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每一件之計算方法是指同一技術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專利之授權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技轉同一廠商，不限</w:t>
            </w:r>
          </w:p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授權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技轉之地區。</w:t>
            </w:r>
          </w:p>
        </w:tc>
      </w:tr>
      <w:tr w:rsidR="002253C2" w:rsidRPr="00662CCD">
        <w:trPr>
          <w:trHeight w:val="936"/>
        </w:trPr>
        <w:tc>
          <w:tcPr>
            <w:tcW w:w="1080" w:type="dxa"/>
          </w:tcPr>
          <w:p w:rsidR="002253C2" w:rsidRPr="00662CCD" w:rsidRDefault="00A25FF8" w:rsidP="00662CCD">
            <w:pPr>
              <w:pStyle w:val="TableParagraph"/>
              <w:spacing w:before="167"/>
              <w:ind w:left="419" w:right="168" w:hanging="24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國外專利</w:t>
            </w: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spacing w:before="184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件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spacing w:before="184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0.5</w:t>
            </w:r>
          </w:p>
        </w:tc>
        <w:tc>
          <w:tcPr>
            <w:tcW w:w="987" w:type="dxa"/>
          </w:tcPr>
          <w:p w:rsidR="002253C2" w:rsidRPr="00662CCD" w:rsidRDefault="00A25FF8" w:rsidP="00662CCD">
            <w:pPr>
              <w:pStyle w:val="TableParagraph"/>
              <w:spacing w:before="184"/>
              <w:ind w:right="42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3</w:t>
            </w:r>
          </w:p>
        </w:tc>
        <w:tc>
          <w:tcPr>
            <w:tcW w:w="2768" w:type="dxa"/>
          </w:tcPr>
          <w:p w:rsidR="002253C2" w:rsidRPr="00662CCD" w:rsidRDefault="00A25FF8" w:rsidP="00662CCD">
            <w:pPr>
              <w:pStyle w:val="TableParagraph"/>
              <w:spacing w:before="11"/>
              <w:ind w:left="107" w:right="-1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每獲得一件國外專利其加</w:t>
            </w:r>
            <w:r w:rsidRPr="00662CCD">
              <w:rPr>
                <w:rFonts w:ascii="Times New Roman" w:eastAsia="標楷體" w:hAnsi="Times New Roman" w:cs="Times New Roman"/>
                <w:spacing w:val="-11"/>
                <w:sz w:val="24"/>
              </w:rPr>
              <w:t>權分數為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0.5</w:t>
            </w:r>
            <w:r w:rsidRPr="00662CCD">
              <w:rPr>
                <w:rFonts w:ascii="Times New Roman" w:eastAsia="標楷體" w:hAnsi="Times New Roman" w:cs="Times New Roman"/>
                <w:spacing w:val="-10"/>
                <w:sz w:val="24"/>
              </w:rPr>
              <w:t>點，其上限</w:t>
            </w:r>
          </w:p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不得超過</w:t>
            </w:r>
            <w:r w:rsidR="009F17C6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點。</w:t>
            </w:r>
          </w:p>
        </w:tc>
      </w:tr>
      <w:tr w:rsidR="002253C2" w:rsidRPr="00662CCD">
        <w:trPr>
          <w:trHeight w:val="938"/>
        </w:trPr>
        <w:tc>
          <w:tcPr>
            <w:tcW w:w="1080" w:type="dxa"/>
          </w:tcPr>
          <w:p w:rsidR="002253C2" w:rsidRPr="00662CCD" w:rsidRDefault="00A25FF8" w:rsidP="00662CCD">
            <w:pPr>
              <w:pStyle w:val="TableParagraph"/>
              <w:spacing w:before="167"/>
              <w:ind w:left="299" w:right="168" w:hanging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品種權件數</w:t>
            </w:r>
          </w:p>
        </w:tc>
        <w:tc>
          <w:tcPr>
            <w:tcW w:w="3310" w:type="dxa"/>
          </w:tcPr>
          <w:p w:rsidR="002253C2" w:rsidRPr="00662CCD" w:rsidRDefault="00A25FF8" w:rsidP="00662CCD">
            <w:pPr>
              <w:pStyle w:val="TableParagraph"/>
              <w:spacing w:before="184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件</w:t>
            </w:r>
          </w:p>
        </w:tc>
        <w:tc>
          <w:tcPr>
            <w:tcW w:w="1107" w:type="dxa"/>
          </w:tcPr>
          <w:p w:rsidR="002253C2" w:rsidRPr="00662CCD" w:rsidRDefault="00A25FF8" w:rsidP="00662CCD">
            <w:pPr>
              <w:pStyle w:val="TableParagraph"/>
              <w:spacing w:before="184"/>
              <w:ind w:left="349" w:right="34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0.5</w:t>
            </w:r>
          </w:p>
        </w:tc>
        <w:tc>
          <w:tcPr>
            <w:tcW w:w="987" w:type="dxa"/>
          </w:tcPr>
          <w:p w:rsidR="002253C2" w:rsidRPr="00662CCD" w:rsidRDefault="00A25FF8" w:rsidP="00662CCD">
            <w:pPr>
              <w:pStyle w:val="TableParagraph"/>
              <w:spacing w:before="184"/>
              <w:ind w:right="42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  <w:tc>
          <w:tcPr>
            <w:tcW w:w="2768" w:type="dxa"/>
          </w:tcPr>
          <w:p w:rsidR="002253C2" w:rsidRPr="00662CCD" w:rsidRDefault="00A25FF8" w:rsidP="00662CCD">
            <w:pPr>
              <w:pStyle w:val="TableParagraph"/>
              <w:spacing w:before="11"/>
              <w:ind w:left="107" w:right="-15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每獲得一件品種權其加權</w:t>
            </w:r>
            <w:r w:rsidRPr="00662CCD">
              <w:rPr>
                <w:rFonts w:ascii="Times New Roman" w:eastAsia="標楷體" w:hAnsi="Times New Roman" w:cs="Times New Roman"/>
                <w:spacing w:val="-13"/>
                <w:sz w:val="24"/>
              </w:rPr>
              <w:t>分數為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0.5</w:t>
            </w:r>
            <w:r w:rsidRPr="00662CCD">
              <w:rPr>
                <w:rFonts w:ascii="Times New Roman" w:eastAsia="標楷體" w:hAnsi="Times New Roman" w:cs="Times New Roman"/>
                <w:spacing w:val="-9"/>
                <w:sz w:val="24"/>
              </w:rPr>
              <w:t>點，其上限不</w:t>
            </w:r>
          </w:p>
          <w:p w:rsidR="002253C2" w:rsidRPr="00662CCD" w:rsidRDefault="00A25FF8" w:rsidP="00662CCD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62CCD">
              <w:rPr>
                <w:rFonts w:ascii="Times New Roman" w:eastAsia="標楷體" w:hAnsi="Times New Roman" w:cs="Times New Roman"/>
                <w:sz w:val="24"/>
              </w:rPr>
              <w:t>得超過</w:t>
            </w:r>
            <w:r w:rsidR="009F17C6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662CCD">
              <w:rPr>
                <w:rFonts w:ascii="Times New Roman" w:eastAsia="標楷體" w:hAnsi="Times New Roman" w:cs="Times New Roman"/>
                <w:sz w:val="24"/>
              </w:rPr>
              <w:t>點。</w:t>
            </w:r>
          </w:p>
        </w:tc>
      </w:tr>
    </w:tbl>
    <w:p w:rsidR="00A25FF8" w:rsidRPr="00662CCD" w:rsidRDefault="00A25FF8" w:rsidP="00662CCD">
      <w:pPr>
        <w:jc w:val="both"/>
        <w:rPr>
          <w:rFonts w:ascii="Times New Roman" w:eastAsia="標楷體" w:hAnsi="Times New Roman" w:cs="Times New Roman"/>
        </w:rPr>
      </w:pPr>
    </w:p>
    <w:sectPr w:rsidR="00A25FF8" w:rsidRPr="00662CCD">
      <w:pgSz w:w="11910" w:h="16840"/>
      <w:pgMar w:top="1140" w:right="400" w:bottom="1200" w:left="4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77" w:rsidRDefault="007C6A77">
      <w:r>
        <w:separator/>
      </w:r>
    </w:p>
  </w:endnote>
  <w:endnote w:type="continuationSeparator" w:id="0">
    <w:p w:rsidR="007C6A77" w:rsidRDefault="007C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3C2" w:rsidRDefault="007C6A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pt;margin-top:780.2pt;width:9pt;height:13.05pt;z-index:-251658752;mso-position-horizontal-relative:page;mso-position-vertical-relative:page" filled="f" stroked="f">
          <v:textbox style="mso-next-textbox:#_x0000_s2049" inset="0,0,0,0">
            <w:txbxContent>
              <w:p w:rsidR="002253C2" w:rsidRDefault="00A25FF8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4704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77" w:rsidRDefault="007C6A77">
      <w:r>
        <w:separator/>
      </w:r>
    </w:p>
  </w:footnote>
  <w:footnote w:type="continuationSeparator" w:id="0">
    <w:p w:rsidR="007C6A77" w:rsidRDefault="007C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68B"/>
    <w:multiLevelType w:val="hybridMultilevel"/>
    <w:tmpl w:val="0C48635E"/>
    <w:lvl w:ilvl="0" w:tplc="800263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03C99"/>
    <w:multiLevelType w:val="hybridMultilevel"/>
    <w:tmpl w:val="0B5874A6"/>
    <w:lvl w:ilvl="0" w:tplc="573AD1C8">
      <w:start w:val="1"/>
      <w:numFmt w:val="decimal"/>
      <w:lvlText w:val="(%1)"/>
      <w:lvlJc w:val="righ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158374B6"/>
    <w:multiLevelType w:val="hybridMultilevel"/>
    <w:tmpl w:val="0B5874A6"/>
    <w:lvl w:ilvl="0" w:tplc="573AD1C8">
      <w:start w:val="1"/>
      <w:numFmt w:val="decimal"/>
      <w:lvlText w:val="(%1)"/>
      <w:lvlJc w:val="righ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3132759F"/>
    <w:multiLevelType w:val="hybridMultilevel"/>
    <w:tmpl w:val="2974CA10"/>
    <w:lvl w:ilvl="0" w:tplc="573AD1C8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D7F53"/>
    <w:multiLevelType w:val="hybridMultilevel"/>
    <w:tmpl w:val="C14AA83C"/>
    <w:lvl w:ilvl="0" w:tplc="96D27FC2">
      <w:start w:val="1"/>
      <w:numFmt w:val="decimal"/>
      <w:lvlText w:val="(%1)"/>
      <w:lvlJc w:val="left"/>
      <w:pPr>
        <w:ind w:left="966" w:hanging="378"/>
      </w:pPr>
      <w:rPr>
        <w:rFonts w:hint="default"/>
        <w:spacing w:val="-60"/>
        <w:w w:val="99"/>
        <w:u w:val="single" w:color="000000"/>
        <w:lang w:val="zh-TW" w:eastAsia="zh-TW" w:bidi="zh-TW"/>
      </w:rPr>
    </w:lvl>
    <w:lvl w:ilvl="1" w:tplc="DD08FC00">
      <w:numFmt w:val="bullet"/>
      <w:lvlText w:val="•"/>
      <w:lvlJc w:val="left"/>
      <w:pPr>
        <w:ind w:left="1970" w:hanging="378"/>
      </w:pPr>
      <w:rPr>
        <w:rFonts w:hint="default"/>
        <w:lang w:val="zh-TW" w:eastAsia="zh-TW" w:bidi="zh-TW"/>
      </w:rPr>
    </w:lvl>
    <w:lvl w:ilvl="2" w:tplc="422AA7E6">
      <w:numFmt w:val="bullet"/>
      <w:lvlText w:val="•"/>
      <w:lvlJc w:val="left"/>
      <w:pPr>
        <w:ind w:left="2981" w:hanging="378"/>
      </w:pPr>
      <w:rPr>
        <w:rFonts w:hint="default"/>
        <w:lang w:val="zh-TW" w:eastAsia="zh-TW" w:bidi="zh-TW"/>
      </w:rPr>
    </w:lvl>
    <w:lvl w:ilvl="3" w:tplc="BFE8B4E6">
      <w:numFmt w:val="bullet"/>
      <w:lvlText w:val="•"/>
      <w:lvlJc w:val="left"/>
      <w:pPr>
        <w:ind w:left="3991" w:hanging="378"/>
      </w:pPr>
      <w:rPr>
        <w:rFonts w:hint="default"/>
        <w:lang w:val="zh-TW" w:eastAsia="zh-TW" w:bidi="zh-TW"/>
      </w:rPr>
    </w:lvl>
    <w:lvl w:ilvl="4" w:tplc="72B2B2D2">
      <w:numFmt w:val="bullet"/>
      <w:lvlText w:val="•"/>
      <w:lvlJc w:val="left"/>
      <w:pPr>
        <w:ind w:left="5002" w:hanging="378"/>
      </w:pPr>
      <w:rPr>
        <w:rFonts w:hint="default"/>
        <w:lang w:val="zh-TW" w:eastAsia="zh-TW" w:bidi="zh-TW"/>
      </w:rPr>
    </w:lvl>
    <w:lvl w:ilvl="5" w:tplc="99EC5F72">
      <w:numFmt w:val="bullet"/>
      <w:lvlText w:val="•"/>
      <w:lvlJc w:val="left"/>
      <w:pPr>
        <w:ind w:left="6013" w:hanging="378"/>
      </w:pPr>
      <w:rPr>
        <w:rFonts w:hint="default"/>
        <w:lang w:val="zh-TW" w:eastAsia="zh-TW" w:bidi="zh-TW"/>
      </w:rPr>
    </w:lvl>
    <w:lvl w:ilvl="6" w:tplc="FD5A29DE">
      <w:numFmt w:val="bullet"/>
      <w:lvlText w:val="•"/>
      <w:lvlJc w:val="left"/>
      <w:pPr>
        <w:ind w:left="7023" w:hanging="378"/>
      </w:pPr>
      <w:rPr>
        <w:rFonts w:hint="default"/>
        <w:lang w:val="zh-TW" w:eastAsia="zh-TW" w:bidi="zh-TW"/>
      </w:rPr>
    </w:lvl>
    <w:lvl w:ilvl="7" w:tplc="9572B3E2">
      <w:numFmt w:val="bullet"/>
      <w:lvlText w:val="•"/>
      <w:lvlJc w:val="left"/>
      <w:pPr>
        <w:ind w:left="8034" w:hanging="378"/>
      </w:pPr>
      <w:rPr>
        <w:rFonts w:hint="default"/>
        <w:lang w:val="zh-TW" w:eastAsia="zh-TW" w:bidi="zh-TW"/>
      </w:rPr>
    </w:lvl>
    <w:lvl w:ilvl="8" w:tplc="8DA0B1D8">
      <w:numFmt w:val="bullet"/>
      <w:lvlText w:val="•"/>
      <w:lvlJc w:val="left"/>
      <w:pPr>
        <w:ind w:left="9045" w:hanging="378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C2"/>
    <w:rsid w:val="000732D2"/>
    <w:rsid w:val="00144704"/>
    <w:rsid w:val="00161356"/>
    <w:rsid w:val="001E5193"/>
    <w:rsid w:val="002253C2"/>
    <w:rsid w:val="003A3967"/>
    <w:rsid w:val="005D5055"/>
    <w:rsid w:val="005F59D4"/>
    <w:rsid w:val="00662CCD"/>
    <w:rsid w:val="007C6A77"/>
    <w:rsid w:val="00825490"/>
    <w:rsid w:val="00857CDA"/>
    <w:rsid w:val="009F17C6"/>
    <w:rsid w:val="00A25FF8"/>
    <w:rsid w:val="00D523BF"/>
    <w:rsid w:val="00F74098"/>
    <w:rsid w:val="00F763F1"/>
    <w:rsid w:val="00F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07D72E-6694-4DF9-BF0B-82F655FA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next w:val="a"/>
    <w:link w:val="10"/>
    <w:uiPriority w:val="9"/>
    <w:qFormat/>
    <w:rsid w:val="005F59D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6" w:hanging="49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6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662CC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62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2CC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customStyle="1" w:styleId="11">
    <w:name w:val="樣式1"/>
    <w:basedOn w:val="a"/>
    <w:link w:val="12"/>
    <w:uiPriority w:val="1"/>
    <w:qFormat/>
    <w:rsid w:val="005F59D4"/>
    <w:rPr>
      <w:rFonts w:ascii="Times New Roman" w:eastAsia="標楷體" w:hAnsi="Times New Roman" w:cs="Times New Roman"/>
      <w:sz w:val="24"/>
    </w:rPr>
  </w:style>
  <w:style w:type="character" w:customStyle="1" w:styleId="10">
    <w:name w:val="標題 1 字元"/>
    <w:basedOn w:val="a0"/>
    <w:link w:val="1"/>
    <w:uiPriority w:val="9"/>
    <w:rsid w:val="005F59D4"/>
    <w:rPr>
      <w:rFonts w:asciiTheme="majorHAnsi" w:eastAsiaTheme="majorEastAsia" w:hAnsiTheme="majorHAnsi" w:cstheme="majorBidi"/>
      <w:b/>
      <w:bCs/>
      <w:kern w:val="52"/>
      <w:sz w:val="52"/>
      <w:szCs w:val="52"/>
      <w:lang w:val="zh-TW" w:eastAsia="zh-TW" w:bidi="zh-TW"/>
    </w:rPr>
  </w:style>
  <w:style w:type="character" w:customStyle="1" w:styleId="12">
    <w:name w:val="樣式1 字元"/>
    <w:basedOn w:val="a0"/>
    <w:link w:val="11"/>
    <w:uiPriority w:val="1"/>
    <w:rsid w:val="005F59D4"/>
    <w:rPr>
      <w:rFonts w:ascii="Times New Roman" w:eastAsia="標楷體" w:hAnsi="Times New Roman" w:cs="Times New Roman"/>
      <w:sz w:val="24"/>
      <w:lang w:val="zh-TW" w:eastAsia="zh-TW" w:bidi="zh-TW"/>
    </w:rPr>
  </w:style>
  <w:style w:type="paragraph" w:styleId="a9">
    <w:name w:val="header"/>
    <w:basedOn w:val="a"/>
    <w:link w:val="aa"/>
    <w:uiPriority w:val="99"/>
    <w:unhideWhenUsed/>
    <w:rsid w:val="009F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F17C6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b">
    <w:name w:val="footer"/>
    <w:basedOn w:val="a"/>
    <w:link w:val="ac"/>
    <w:uiPriority w:val="99"/>
    <w:unhideWhenUsed/>
    <w:rsid w:val="009F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F17C6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DE91-5583-4679-A6C4-0C34F3DD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國立中興大學特聘教授III暨優聘教師III電機資訊學院學術研究表現審議標準</dc:title>
  <dc:creator>ct</dc:creator>
  <cp:lastModifiedBy>li</cp:lastModifiedBy>
  <cp:revision>10</cp:revision>
  <dcterms:created xsi:type="dcterms:W3CDTF">2018-12-04T06:39:00Z</dcterms:created>
  <dcterms:modified xsi:type="dcterms:W3CDTF">2020-04-17T13:03:00Z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2018-12-04T00:00:00Z</vt:filetime>
  </property>
</Properties>
</file>