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04" w:rsidRDefault="00433F3E" w:rsidP="00433F3E">
      <w:pPr>
        <w:spacing w:line="489" w:lineRule="exact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2"/>
        </w:rPr>
        <w:t>國立中興大學</w:t>
      </w:r>
      <w:r>
        <w:rPr>
          <w:rFonts w:ascii="Times New Roman" w:eastAsia="標楷體" w:hAnsi="Times New Roman" w:cs="Times New Roman" w:hint="eastAsia"/>
          <w:b/>
          <w:sz w:val="32"/>
        </w:rPr>
        <w:t>電機資訊</w:t>
      </w:r>
      <w:r>
        <w:rPr>
          <w:rFonts w:ascii="Times New Roman" w:eastAsia="標楷體" w:hAnsi="Times New Roman" w:cs="Times New Roman"/>
          <w:b/>
          <w:sz w:val="32"/>
        </w:rPr>
        <w:t>學院</w:t>
      </w:r>
    </w:p>
    <w:p w:rsidR="00433F3E" w:rsidRDefault="00433F3E" w:rsidP="00433F3E">
      <w:pPr>
        <w:spacing w:line="489" w:lineRule="exact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優良導師及勞作教育導師</w:t>
      </w:r>
      <w:r w:rsidRPr="00BB19DF">
        <w:rPr>
          <w:rFonts w:ascii="Times New Roman" w:eastAsia="標楷體" w:hAnsi="Times New Roman" w:cs="Times New Roman"/>
          <w:b/>
          <w:sz w:val="32"/>
        </w:rPr>
        <w:t>獎勵辦法</w:t>
      </w:r>
    </w:p>
    <w:p w:rsidR="00433F3E" w:rsidRDefault="002444BC" w:rsidP="002444BC">
      <w:pPr>
        <w:spacing w:line="489" w:lineRule="exact"/>
        <w:jc w:val="right"/>
        <w:rPr>
          <w:rFonts w:ascii="Times New Roman" w:eastAsia="標楷體" w:hAnsi="Times New Roman" w:cs="Times New Roman"/>
          <w:sz w:val="20"/>
        </w:rPr>
      </w:pPr>
      <w:r w:rsidRPr="009D3160">
        <w:rPr>
          <w:rFonts w:ascii="Times New Roman" w:eastAsia="標楷體" w:hAnsi="Times New Roman" w:cs="Times New Roman"/>
          <w:sz w:val="20"/>
        </w:rPr>
        <w:t>107</w:t>
      </w:r>
      <w:r w:rsidRPr="009D3160">
        <w:rPr>
          <w:rFonts w:ascii="Times New Roman" w:eastAsia="標楷體" w:hAnsi="Times New Roman" w:cs="Times New Roman"/>
          <w:sz w:val="20"/>
        </w:rPr>
        <w:t>年</w:t>
      </w:r>
      <w:r w:rsidRPr="009D3160">
        <w:rPr>
          <w:rFonts w:ascii="Times New Roman" w:eastAsia="標楷體" w:hAnsi="Times New Roman" w:cs="Times New Roman"/>
          <w:sz w:val="20"/>
        </w:rPr>
        <w:t>12</w:t>
      </w:r>
      <w:r w:rsidRPr="009D3160">
        <w:rPr>
          <w:rFonts w:ascii="Times New Roman" w:eastAsia="標楷體" w:hAnsi="Times New Roman" w:cs="Times New Roman"/>
          <w:sz w:val="20"/>
        </w:rPr>
        <w:t>月</w:t>
      </w:r>
      <w:r w:rsidRPr="009D3160">
        <w:rPr>
          <w:rFonts w:ascii="Times New Roman" w:eastAsia="標楷體" w:hAnsi="Times New Roman" w:cs="Times New Roman"/>
          <w:sz w:val="20"/>
        </w:rPr>
        <w:t>18</w:t>
      </w:r>
      <w:r>
        <w:rPr>
          <w:rFonts w:ascii="Times New Roman" w:eastAsia="標楷體" w:hAnsi="Times New Roman" w:cs="Times New Roman" w:hint="eastAsia"/>
          <w:sz w:val="20"/>
        </w:rPr>
        <w:t>日臨時院</w:t>
      </w:r>
      <w:proofErr w:type="gramStart"/>
      <w:r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</w:rPr>
        <w:t>會議訂定通過</w:t>
      </w:r>
    </w:p>
    <w:p w:rsidR="002444BC" w:rsidRPr="002444BC" w:rsidRDefault="002444BC" w:rsidP="002444BC">
      <w:pPr>
        <w:spacing w:line="489" w:lineRule="exact"/>
        <w:jc w:val="right"/>
        <w:rPr>
          <w:rFonts w:ascii="Times New Roman" w:eastAsia="標楷體" w:hAnsi="Times New Roman" w:cs="Times New Roman"/>
          <w:sz w:val="8"/>
        </w:rPr>
      </w:pPr>
    </w:p>
    <w:p w:rsidR="00433F3E" w:rsidRPr="00BB19DF" w:rsidRDefault="00433F3E" w:rsidP="00433F3E">
      <w:pPr>
        <w:pStyle w:val="a3"/>
        <w:tabs>
          <w:tab w:val="left" w:pos="1322"/>
        </w:tabs>
        <w:spacing w:before="0" w:line="0" w:lineRule="atLeast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第一條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ab/>
      </w:r>
      <w:r>
        <w:rPr>
          <w:rFonts w:ascii="Times New Roman" w:eastAsia="標楷體" w:hAnsi="Times New Roman" w:cs="Times New Roman"/>
          <w:color w:val="323232"/>
          <w:spacing w:val="3"/>
        </w:rPr>
        <w:t>為</w:t>
      </w:r>
      <w:r>
        <w:rPr>
          <w:rFonts w:ascii="Times New Roman" w:eastAsia="標楷體" w:hAnsi="Times New Roman" w:cs="Times New Roman" w:hint="eastAsia"/>
          <w:color w:val="323232"/>
          <w:spacing w:val="3"/>
        </w:rPr>
        <w:t>表揚</w:t>
      </w:r>
      <w:r>
        <w:rPr>
          <w:rFonts w:ascii="Times New Roman" w:eastAsia="標楷體" w:hAnsi="Times New Roman" w:cs="Times New Roman"/>
          <w:color w:val="323232"/>
          <w:spacing w:val="3"/>
        </w:rPr>
        <w:t>本院</w:t>
      </w:r>
      <w:r>
        <w:rPr>
          <w:rFonts w:ascii="Times New Roman" w:eastAsia="標楷體" w:hAnsi="Times New Roman" w:cs="Times New Roman" w:hint="eastAsia"/>
          <w:color w:val="323232"/>
          <w:spacing w:val="3"/>
        </w:rPr>
        <w:t>優良導師及</w:t>
      </w:r>
      <w:r w:rsidR="004A75FD">
        <w:rPr>
          <w:rFonts w:ascii="Times New Roman" w:eastAsia="標楷體" w:hAnsi="Times New Roman" w:cs="Times New Roman" w:hint="eastAsia"/>
          <w:color w:val="323232"/>
          <w:spacing w:val="3"/>
        </w:rPr>
        <w:t>優良</w:t>
      </w:r>
      <w:r>
        <w:rPr>
          <w:rFonts w:ascii="Times New Roman" w:eastAsia="標楷體" w:hAnsi="Times New Roman" w:cs="Times New Roman" w:hint="eastAsia"/>
          <w:color w:val="323232"/>
          <w:spacing w:val="3"/>
        </w:rPr>
        <w:t>勞作教育導師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，特訂定本辦法。</w:t>
      </w:r>
    </w:p>
    <w:p w:rsidR="00433F3E" w:rsidRPr="00BB19DF" w:rsidRDefault="00433F3E" w:rsidP="00433F3E">
      <w:pPr>
        <w:pStyle w:val="a3"/>
        <w:tabs>
          <w:tab w:val="left" w:pos="1322"/>
        </w:tabs>
        <w:spacing w:before="0" w:line="0" w:lineRule="atLeast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第二條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ab/>
      </w:r>
      <w:r>
        <w:rPr>
          <w:rFonts w:ascii="Times New Roman" w:eastAsia="標楷體" w:hAnsi="Times New Roman" w:cs="Times New Roman"/>
          <w:color w:val="323232"/>
          <w:spacing w:val="3"/>
        </w:rPr>
        <w:t>獲</w:t>
      </w:r>
      <w:r>
        <w:rPr>
          <w:rFonts w:ascii="Times New Roman" w:eastAsia="標楷體" w:hAnsi="Times New Roman" w:cs="Times New Roman" w:hint="eastAsia"/>
          <w:color w:val="323232"/>
          <w:spacing w:val="3"/>
        </w:rPr>
        <w:t>本院</w:t>
      </w:r>
      <w:r>
        <w:rPr>
          <w:rFonts w:ascii="Times New Roman" w:eastAsia="標楷體" w:hAnsi="Times New Roman" w:cs="Times New Roman"/>
          <w:color w:val="323232"/>
          <w:spacing w:val="3"/>
        </w:rPr>
        <w:t>「</w:t>
      </w:r>
      <w:r>
        <w:rPr>
          <w:rFonts w:ascii="Times New Roman" w:eastAsia="標楷體" w:hAnsi="Times New Roman" w:cs="Times New Roman" w:hint="eastAsia"/>
          <w:color w:val="323232"/>
          <w:spacing w:val="3"/>
        </w:rPr>
        <w:t>優良導師</w:t>
      </w:r>
      <w:r>
        <w:rPr>
          <w:rFonts w:ascii="Times New Roman" w:eastAsia="標楷體" w:hAnsi="Times New Roman" w:cs="Times New Roman"/>
          <w:color w:val="323232"/>
          <w:spacing w:val="3"/>
        </w:rPr>
        <w:t>」</w:t>
      </w:r>
      <w:r>
        <w:rPr>
          <w:rFonts w:ascii="Times New Roman" w:eastAsia="標楷體" w:hAnsi="Times New Roman" w:cs="Times New Roman" w:hint="eastAsia"/>
          <w:color w:val="323232"/>
          <w:spacing w:val="3"/>
        </w:rPr>
        <w:t>及「勞作教育導師」</w:t>
      </w:r>
      <w:r>
        <w:rPr>
          <w:rFonts w:ascii="Times New Roman" w:eastAsia="標楷體" w:hAnsi="Times New Roman" w:cs="Times New Roman"/>
          <w:color w:val="323232"/>
          <w:spacing w:val="3"/>
        </w:rPr>
        <w:t>獎勵者頒發</w:t>
      </w:r>
      <w:r>
        <w:rPr>
          <w:rFonts w:ascii="Times New Roman" w:eastAsia="標楷體" w:hAnsi="Times New Roman" w:cs="Times New Roman" w:hint="eastAsia"/>
          <w:color w:val="323232"/>
          <w:spacing w:val="3"/>
        </w:rPr>
        <w:t>獎狀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，由院長於本院重要會議或</w:t>
      </w:r>
      <w:proofErr w:type="gramStart"/>
      <w:r w:rsidRPr="00BB19DF">
        <w:rPr>
          <w:rFonts w:ascii="Times New Roman" w:eastAsia="標楷體" w:hAnsi="Times New Roman" w:cs="Times New Roman"/>
          <w:color w:val="323232"/>
          <w:spacing w:val="3"/>
        </w:rPr>
        <w:t>慶典中頒贈</w:t>
      </w:r>
      <w:proofErr w:type="gramEnd"/>
      <w:r w:rsidRPr="00BB19DF">
        <w:rPr>
          <w:rFonts w:ascii="Times New Roman" w:eastAsia="標楷體" w:hAnsi="Times New Roman" w:cs="Times New Roman"/>
          <w:color w:val="323232"/>
          <w:spacing w:val="3"/>
        </w:rPr>
        <w:t>。</w:t>
      </w:r>
    </w:p>
    <w:p w:rsidR="00433F3E" w:rsidRPr="00BB19DF" w:rsidRDefault="00433F3E" w:rsidP="007E75A1">
      <w:pPr>
        <w:pStyle w:val="a3"/>
        <w:spacing w:before="0" w:line="0" w:lineRule="atLeast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第三條</w:t>
      </w:r>
      <w:r w:rsidR="007E75A1">
        <w:rPr>
          <w:rFonts w:ascii="Times New Roman" w:eastAsia="標楷體" w:hAnsi="Times New Roman" w:cs="Times New Roman" w:hint="eastAsia"/>
          <w:color w:val="323232"/>
          <w:spacing w:val="3"/>
        </w:rPr>
        <w:tab/>
      </w:r>
      <w:r w:rsidR="007E75A1">
        <w:rPr>
          <w:rFonts w:ascii="Times New Roman" w:eastAsia="標楷體" w:hAnsi="Times New Roman" w:cs="Times New Roman" w:hint="eastAsia"/>
          <w:color w:val="323232"/>
          <w:spacing w:val="3"/>
        </w:rPr>
        <w:t>優良導師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獎勵對象限在本院</w:t>
      </w:r>
      <w:r w:rsidR="007E75A1">
        <w:rPr>
          <w:rFonts w:ascii="Times New Roman" w:eastAsia="標楷體" w:hAnsi="Times New Roman" w:cs="Times New Roman" w:hint="eastAsia"/>
          <w:color w:val="323232"/>
          <w:spacing w:val="3"/>
        </w:rPr>
        <w:t>擔任導師工作滿一年以上之專任教師，且過去三年未獲選優良導師者。依各系</w:t>
      </w:r>
      <w:r w:rsidR="008466BA">
        <w:rPr>
          <w:rFonts w:ascii="Times New Roman" w:eastAsia="標楷體" w:hAnsi="Times New Roman" w:cs="Times New Roman" w:hint="eastAsia"/>
          <w:color w:val="323232"/>
          <w:spacing w:val="3"/>
        </w:rPr>
        <w:t>(</w:t>
      </w:r>
      <w:r w:rsidR="007E75A1">
        <w:rPr>
          <w:rFonts w:ascii="Times New Roman" w:eastAsia="標楷體" w:hAnsi="Times New Roman" w:cs="Times New Roman" w:hint="eastAsia"/>
          <w:color w:val="323232"/>
          <w:spacing w:val="3"/>
        </w:rPr>
        <w:t>所</w:t>
      </w:r>
      <w:r w:rsidR="008466BA">
        <w:rPr>
          <w:rFonts w:ascii="Times New Roman" w:eastAsia="標楷體" w:hAnsi="Times New Roman" w:cs="Times New Roman" w:hint="eastAsia"/>
          <w:color w:val="323232"/>
          <w:spacing w:val="3"/>
        </w:rPr>
        <w:t>)</w:t>
      </w:r>
      <w:r w:rsidR="006C208F">
        <w:rPr>
          <w:rFonts w:ascii="Times New Roman" w:eastAsia="標楷體" w:hAnsi="Times New Roman" w:cs="Times New Roman" w:hint="eastAsia"/>
          <w:color w:val="323232"/>
          <w:spacing w:val="3"/>
        </w:rPr>
        <w:t>就評選對象每五名推薦</w:t>
      </w:r>
      <w:proofErr w:type="gramStart"/>
      <w:r w:rsidR="006C208F">
        <w:rPr>
          <w:rFonts w:ascii="Times New Roman" w:eastAsia="標楷體" w:hAnsi="Times New Roman" w:cs="Times New Roman" w:hint="eastAsia"/>
          <w:color w:val="323232"/>
          <w:spacing w:val="3"/>
        </w:rPr>
        <w:t>一</w:t>
      </w:r>
      <w:proofErr w:type="gramEnd"/>
      <w:r w:rsidR="006C208F">
        <w:rPr>
          <w:rFonts w:ascii="Times New Roman" w:eastAsia="標楷體" w:hAnsi="Times New Roman" w:cs="Times New Roman" w:hint="eastAsia"/>
          <w:color w:val="323232"/>
          <w:spacing w:val="3"/>
        </w:rPr>
        <w:t>人為候選人送院行政主管會議</w:t>
      </w:r>
      <w:r w:rsidR="00A71F0B">
        <w:rPr>
          <w:rFonts w:ascii="Times New Roman" w:eastAsia="標楷體" w:hAnsi="Times New Roman" w:cs="Times New Roman" w:hint="eastAsia"/>
          <w:color w:val="323232"/>
          <w:spacing w:val="3"/>
        </w:rPr>
        <w:t>(</w:t>
      </w:r>
      <w:r w:rsidR="00A71F0B">
        <w:rPr>
          <w:rFonts w:ascii="Times New Roman" w:eastAsia="標楷體" w:hAnsi="Times New Roman" w:cs="Times New Roman" w:hint="eastAsia"/>
          <w:color w:val="323232"/>
          <w:spacing w:val="3"/>
        </w:rPr>
        <w:t>以下簡稱審議會議</w:t>
      </w:r>
      <w:r w:rsidR="00A71F0B">
        <w:rPr>
          <w:rFonts w:ascii="Times New Roman" w:eastAsia="標楷體" w:hAnsi="Times New Roman" w:cs="Times New Roman" w:hint="eastAsia"/>
          <w:color w:val="323232"/>
          <w:spacing w:val="3"/>
        </w:rPr>
        <w:t>)</w:t>
      </w:r>
      <w:r w:rsidR="006C208F">
        <w:rPr>
          <w:rFonts w:ascii="Times New Roman" w:eastAsia="標楷體" w:hAnsi="Times New Roman" w:cs="Times New Roman" w:hint="eastAsia"/>
          <w:color w:val="323232"/>
          <w:spacing w:val="3"/>
        </w:rPr>
        <w:t>審議，並依第四條</w:t>
      </w:r>
      <w:proofErr w:type="gramStart"/>
      <w:r w:rsidR="006C208F">
        <w:rPr>
          <w:rFonts w:ascii="Times New Roman" w:eastAsia="標楷體" w:hAnsi="Times New Roman" w:cs="Times New Roman" w:hint="eastAsia"/>
          <w:color w:val="323232"/>
          <w:spacing w:val="3"/>
        </w:rPr>
        <w:t>規定送校審</w:t>
      </w:r>
      <w:proofErr w:type="gramEnd"/>
      <w:r w:rsidR="006C208F">
        <w:rPr>
          <w:rFonts w:ascii="Times New Roman" w:eastAsia="標楷體" w:hAnsi="Times New Roman" w:cs="Times New Roman" w:hint="eastAsia"/>
          <w:color w:val="323232"/>
          <w:spacing w:val="3"/>
        </w:rPr>
        <w:t>議。</w:t>
      </w:r>
    </w:p>
    <w:p w:rsidR="00433F3E" w:rsidRDefault="00433F3E" w:rsidP="00433F3E">
      <w:pPr>
        <w:pStyle w:val="a3"/>
        <w:tabs>
          <w:tab w:val="left" w:pos="1322"/>
        </w:tabs>
        <w:spacing w:before="0" w:line="0" w:lineRule="atLeast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  <w:lang w:val="en-US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第四條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ab/>
      </w:r>
      <w:r w:rsidR="006C208F">
        <w:rPr>
          <w:rFonts w:ascii="Times New Roman" w:eastAsia="標楷體" w:hAnsi="Times New Roman" w:cs="Times New Roman" w:hint="eastAsia"/>
          <w:color w:val="323232"/>
          <w:spacing w:val="3"/>
        </w:rPr>
        <w:t>優良導師評選標準如下：</w:t>
      </w:r>
    </w:p>
    <w:p w:rsidR="006C208F" w:rsidRDefault="006C208F" w:rsidP="006C208F">
      <w:pPr>
        <w:pStyle w:val="a3"/>
        <w:numPr>
          <w:ilvl w:val="0"/>
          <w:numId w:val="1"/>
        </w:numPr>
        <w:tabs>
          <w:tab w:val="left" w:pos="1322"/>
        </w:tabs>
        <w:spacing w:before="0" w:line="0" w:lineRule="atLeast"/>
        <w:ind w:left="1882" w:right="0" w:hanging="680"/>
        <w:jc w:val="both"/>
        <w:rPr>
          <w:rFonts w:ascii="Times New Roman" w:eastAsia="標楷體" w:hAnsi="Times New Roman" w:cs="Times New Roman"/>
          <w:color w:val="323232"/>
          <w:spacing w:val="3"/>
          <w:lang w:val="en-US"/>
        </w:rPr>
      </w:pPr>
      <w:r>
        <w:rPr>
          <w:rFonts w:ascii="Times New Roman" w:eastAsia="標楷體" w:hAnsi="Times New Roman" w:cs="Times New Roman" w:hint="eastAsia"/>
          <w:color w:val="323232"/>
          <w:spacing w:val="3"/>
          <w:lang w:val="en-US"/>
        </w:rPr>
        <w:t>關懷學生，輔導學生生活、學習與活動有具體成效者。</w:t>
      </w:r>
    </w:p>
    <w:p w:rsidR="006C208F" w:rsidRDefault="006C208F" w:rsidP="006C208F">
      <w:pPr>
        <w:pStyle w:val="a3"/>
        <w:numPr>
          <w:ilvl w:val="0"/>
          <w:numId w:val="1"/>
        </w:numPr>
        <w:tabs>
          <w:tab w:val="left" w:pos="1322"/>
        </w:tabs>
        <w:spacing w:before="0" w:line="0" w:lineRule="atLeast"/>
        <w:ind w:left="1882" w:right="0" w:hanging="680"/>
        <w:jc w:val="both"/>
        <w:rPr>
          <w:rFonts w:ascii="Times New Roman" w:eastAsia="標楷體" w:hAnsi="Times New Roman" w:cs="Times New Roman"/>
          <w:color w:val="323232"/>
          <w:spacing w:val="3"/>
          <w:lang w:val="en-US"/>
        </w:rPr>
      </w:pPr>
      <w:r>
        <w:rPr>
          <w:rFonts w:ascii="Times New Roman" w:eastAsia="標楷體" w:hAnsi="Times New Roman" w:cs="Times New Roman" w:hint="eastAsia"/>
          <w:color w:val="323232"/>
          <w:spacing w:val="3"/>
          <w:lang w:val="en-US"/>
        </w:rPr>
        <w:t>主動發現學生困難問題並提供協助有具體事實者。</w:t>
      </w:r>
    </w:p>
    <w:p w:rsidR="006C208F" w:rsidRDefault="006C208F" w:rsidP="006C208F">
      <w:pPr>
        <w:pStyle w:val="a3"/>
        <w:numPr>
          <w:ilvl w:val="0"/>
          <w:numId w:val="1"/>
        </w:numPr>
        <w:tabs>
          <w:tab w:val="left" w:pos="1322"/>
        </w:tabs>
        <w:spacing w:before="0" w:line="0" w:lineRule="atLeast"/>
        <w:ind w:left="1882" w:right="0" w:hanging="680"/>
        <w:jc w:val="both"/>
        <w:rPr>
          <w:rFonts w:ascii="Times New Roman" w:eastAsia="標楷體" w:hAnsi="Times New Roman" w:cs="Times New Roman"/>
          <w:color w:val="323232"/>
          <w:spacing w:val="3"/>
          <w:lang w:val="en-US"/>
        </w:rPr>
      </w:pPr>
      <w:r>
        <w:rPr>
          <w:rFonts w:ascii="Times New Roman" w:eastAsia="標楷體" w:hAnsi="Times New Roman" w:cs="Times New Roman" w:hint="eastAsia"/>
          <w:color w:val="323232"/>
          <w:spacing w:val="3"/>
          <w:lang w:val="en-US"/>
        </w:rPr>
        <w:t>處理學生特殊及重大事件有具體事實者。</w:t>
      </w:r>
    </w:p>
    <w:p w:rsidR="006C208F" w:rsidRDefault="006C208F" w:rsidP="006C208F">
      <w:pPr>
        <w:pStyle w:val="a3"/>
        <w:numPr>
          <w:ilvl w:val="0"/>
          <w:numId w:val="1"/>
        </w:numPr>
        <w:tabs>
          <w:tab w:val="left" w:pos="1322"/>
        </w:tabs>
        <w:spacing w:before="0" w:line="0" w:lineRule="atLeast"/>
        <w:ind w:left="1882" w:right="0" w:hanging="680"/>
        <w:jc w:val="both"/>
        <w:rPr>
          <w:rFonts w:ascii="Times New Roman" w:eastAsia="標楷體" w:hAnsi="Times New Roman" w:cs="Times New Roman"/>
          <w:color w:val="323232"/>
          <w:spacing w:val="3"/>
          <w:lang w:val="en-US"/>
        </w:rPr>
      </w:pPr>
      <w:r>
        <w:rPr>
          <w:rFonts w:ascii="Times New Roman" w:eastAsia="標楷體" w:hAnsi="Times New Roman" w:cs="Times New Roman" w:hint="eastAsia"/>
          <w:color w:val="323232"/>
          <w:spacing w:val="3"/>
          <w:lang w:val="en-US"/>
        </w:rPr>
        <w:t>積極參加各項輔導知能研習與輔導座談會。</w:t>
      </w:r>
    </w:p>
    <w:p w:rsidR="006C208F" w:rsidRPr="006C208F" w:rsidRDefault="006C208F" w:rsidP="006C208F">
      <w:pPr>
        <w:pStyle w:val="a3"/>
        <w:numPr>
          <w:ilvl w:val="0"/>
          <w:numId w:val="1"/>
        </w:numPr>
        <w:tabs>
          <w:tab w:val="left" w:pos="1322"/>
        </w:tabs>
        <w:spacing w:before="0" w:line="0" w:lineRule="atLeast"/>
        <w:ind w:left="1882" w:right="0" w:hanging="680"/>
        <w:jc w:val="both"/>
        <w:rPr>
          <w:rFonts w:ascii="Times New Roman" w:eastAsia="標楷體" w:hAnsi="Times New Roman" w:cs="Times New Roman"/>
          <w:color w:val="323232"/>
          <w:spacing w:val="3"/>
          <w:lang w:val="en-US"/>
        </w:rPr>
      </w:pPr>
      <w:r>
        <w:rPr>
          <w:rFonts w:ascii="Times New Roman" w:eastAsia="標楷體" w:hAnsi="Times New Roman" w:cs="Times New Roman" w:hint="eastAsia"/>
          <w:color w:val="323232"/>
          <w:spacing w:val="3"/>
          <w:lang w:val="en-US"/>
        </w:rPr>
        <w:t>其他對學生輔導工具具有創新或措施者。</w:t>
      </w:r>
    </w:p>
    <w:p w:rsidR="00433F3E" w:rsidRPr="00BB19DF" w:rsidRDefault="00433F3E" w:rsidP="00433F3E">
      <w:pPr>
        <w:pStyle w:val="a3"/>
        <w:tabs>
          <w:tab w:val="left" w:pos="1322"/>
        </w:tabs>
        <w:spacing w:before="0" w:line="0" w:lineRule="atLeast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第五條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ab/>
      </w:r>
      <w:r w:rsidR="006C208F">
        <w:rPr>
          <w:rFonts w:ascii="Times New Roman" w:eastAsia="標楷體" w:hAnsi="Times New Roman" w:cs="Times New Roman" w:hint="eastAsia"/>
          <w:color w:val="323232"/>
          <w:spacing w:val="3"/>
        </w:rPr>
        <w:t>本院優良導師獎勵名額</w:t>
      </w:r>
      <w:r w:rsidR="00A71F0B">
        <w:rPr>
          <w:rFonts w:ascii="Times New Roman" w:eastAsia="標楷體" w:hAnsi="Times New Roman" w:cs="Times New Roman" w:hint="eastAsia"/>
          <w:color w:val="323232"/>
          <w:spacing w:val="3"/>
        </w:rPr>
        <w:t>每年至多</w:t>
      </w:r>
      <w:r w:rsidR="00FF6ED1">
        <w:rPr>
          <w:rFonts w:ascii="Times New Roman" w:eastAsia="標楷體" w:hAnsi="Times New Roman" w:cs="Times New Roman" w:hint="eastAsia"/>
          <w:color w:val="323232"/>
          <w:spacing w:val="3"/>
        </w:rPr>
        <w:t>6</w:t>
      </w:r>
      <w:r w:rsidR="00A71F0B">
        <w:rPr>
          <w:rFonts w:ascii="Times New Roman" w:eastAsia="標楷體" w:hAnsi="Times New Roman" w:cs="Times New Roman" w:hint="eastAsia"/>
          <w:color w:val="323232"/>
          <w:spacing w:val="3"/>
        </w:rPr>
        <w:t>名，由審議會議排序；依序推薦至</w:t>
      </w:r>
      <w:r w:rsidR="00D20DA9">
        <w:rPr>
          <w:rFonts w:ascii="Times New Roman" w:eastAsia="標楷體" w:hAnsi="Times New Roman" w:cs="Times New Roman" w:hint="eastAsia"/>
          <w:color w:val="323232"/>
          <w:spacing w:val="3"/>
        </w:rPr>
        <w:t>本校「學生輔導委員會」競爭優良導師。</w:t>
      </w:r>
    </w:p>
    <w:p w:rsidR="00904CA3" w:rsidRDefault="00433F3E" w:rsidP="00904CA3">
      <w:pPr>
        <w:pStyle w:val="a3"/>
        <w:tabs>
          <w:tab w:val="left" w:pos="1322"/>
        </w:tabs>
        <w:spacing w:before="0" w:line="0" w:lineRule="atLeast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第六條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ab/>
      </w:r>
      <w:r w:rsidR="00904CA3">
        <w:rPr>
          <w:rFonts w:ascii="Times New Roman" w:eastAsia="標楷體" w:hAnsi="Times New Roman" w:cs="Times New Roman" w:hint="eastAsia"/>
          <w:color w:val="323232"/>
          <w:spacing w:val="3"/>
        </w:rPr>
        <w:t>勞作教育導師</w:t>
      </w:r>
      <w:r w:rsidR="00904CA3" w:rsidRPr="00BB19DF">
        <w:rPr>
          <w:rFonts w:ascii="Times New Roman" w:eastAsia="標楷體" w:hAnsi="Times New Roman" w:cs="Times New Roman"/>
          <w:color w:val="323232"/>
          <w:spacing w:val="3"/>
        </w:rPr>
        <w:t>獎勵對象限在本院</w:t>
      </w:r>
      <w:r w:rsidR="004A75FD">
        <w:rPr>
          <w:rFonts w:ascii="Times New Roman" w:eastAsia="標楷體" w:hAnsi="Times New Roman" w:cs="Times New Roman" w:hint="eastAsia"/>
          <w:color w:val="323232"/>
          <w:spacing w:val="3"/>
        </w:rPr>
        <w:t>三年內</w:t>
      </w:r>
      <w:r w:rsidR="00904CA3">
        <w:rPr>
          <w:rFonts w:ascii="Times New Roman" w:eastAsia="標楷體" w:hAnsi="Times New Roman" w:cs="Times New Roman" w:hint="eastAsia"/>
          <w:color w:val="323232"/>
          <w:spacing w:val="3"/>
        </w:rPr>
        <w:t>擔任勞作教育導師工作滿一年以上之專任教師。</w:t>
      </w:r>
    </w:p>
    <w:p w:rsidR="00B84F14" w:rsidRDefault="00B84F14" w:rsidP="00B84F14">
      <w:pPr>
        <w:pStyle w:val="a3"/>
        <w:tabs>
          <w:tab w:val="left" w:pos="1322"/>
        </w:tabs>
        <w:spacing w:before="0" w:line="0" w:lineRule="atLeast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第七條</w:t>
      </w:r>
      <w:r>
        <w:rPr>
          <w:rFonts w:ascii="Times New Roman" w:eastAsia="標楷體" w:hAnsi="Times New Roman" w:cs="Times New Roman" w:hint="eastAsia"/>
          <w:color w:val="323232"/>
          <w:spacing w:val="3"/>
        </w:rPr>
        <w:tab/>
      </w:r>
      <w:r>
        <w:rPr>
          <w:rFonts w:ascii="Times New Roman" w:eastAsia="標楷體" w:hAnsi="Times New Roman" w:cs="Times New Roman" w:hint="eastAsia"/>
          <w:color w:val="323232"/>
          <w:spacing w:val="3"/>
        </w:rPr>
        <w:t>勞作教育導師推薦名額，按其勞作小組數量比例，每超過五組勞作小組，推薦</w:t>
      </w:r>
      <w:r>
        <w:rPr>
          <w:rFonts w:ascii="Times New Roman" w:eastAsia="標楷體" w:hAnsi="Times New Roman" w:cs="Times New Roman" w:hint="eastAsia"/>
          <w:color w:val="323232"/>
          <w:spacing w:val="3"/>
        </w:rPr>
        <w:t>1</w:t>
      </w:r>
      <w:r>
        <w:rPr>
          <w:rFonts w:ascii="Times New Roman" w:eastAsia="標楷體" w:hAnsi="Times New Roman" w:cs="Times New Roman" w:hint="eastAsia"/>
          <w:color w:val="323232"/>
          <w:spacing w:val="3"/>
        </w:rPr>
        <w:t>名；未超過五組，各推薦</w:t>
      </w:r>
      <w:r>
        <w:rPr>
          <w:rFonts w:ascii="Times New Roman" w:eastAsia="標楷體" w:hAnsi="Times New Roman" w:cs="Times New Roman" w:hint="eastAsia"/>
          <w:color w:val="323232"/>
          <w:spacing w:val="3"/>
        </w:rPr>
        <w:t>1</w:t>
      </w:r>
      <w:r>
        <w:rPr>
          <w:rFonts w:ascii="Times New Roman" w:eastAsia="標楷體" w:hAnsi="Times New Roman" w:cs="Times New Roman" w:hint="eastAsia"/>
          <w:color w:val="323232"/>
          <w:spacing w:val="3"/>
        </w:rPr>
        <w:t>名。</w:t>
      </w:r>
    </w:p>
    <w:p w:rsidR="00433F3E" w:rsidRDefault="00B84F14" w:rsidP="00B84F14">
      <w:pPr>
        <w:pStyle w:val="a3"/>
        <w:tabs>
          <w:tab w:val="left" w:pos="1322"/>
        </w:tabs>
        <w:spacing w:before="0" w:line="0" w:lineRule="atLeast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>
        <w:rPr>
          <w:rFonts w:ascii="Times New Roman" w:eastAsia="標楷體" w:hAnsi="Times New Roman" w:cs="Times New Roman"/>
          <w:color w:val="323232"/>
          <w:spacing w:val="3"/>
        </w:rPr>
        <w:t>第</w:t>
      </w:r>
      <w:r>
        <w:rPr>
          <w:rFonts w:ascii="Times New Roman" w:eastAsia="標楷體" w:hAnsi="Times New Roman" w:cs="Times New Roman" w:hint="eastAsia"/>
          <w:color w:val="323232"/>
          <w:spacing w:val="3"/>
        </w:rPr>
        <w:t>八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條</w:t>
      </w:r>
      <w:r>
        <w:rPr>
          <w:rFonts w:ascii="Times New Roman" w:eastAsia="標楷體" w:hAnsi="Times New Roman" w:cs="Times New Roman" w:hint="eastAsia"/>
          <w:color w:val="323232"/>
          <w:spacing w:val="3"/>
        </w:rPr>
        <w:tab/>
      </w:r>
      <w:r w:rsidR="00904CA3">
        <w:rPr>
          <w:rFonts w:ascii="Times New Roman" w:eastAsia="標楷體" w:hAnsi="Times New Roman" w:cs="Times New Roman" w:hint="eastAsia"/>
          <w:color w:val="323232"/>
          <w:spacing w:val="3"/>
        </w:rPr>
        <w:t>本院</w:t>
      </w:r>
      <w:r w:rsidR="004A75FD">
        <w:rPr>
          <w:rFonts w:ascii="Times New Roman" w:eastAsia="標楷體" w:hAnsi="Times New Roman" w:cs="Times New Roman" w:hint="eastAsia"/>
          <w:color w:val="323232"/>
          <w:spacing w:val="3"/>
        </w:rPr>
        <w:t>優良</w:t>
      </w:r>
      <w:r w:rsidR="00904CA3">
        <w:rPr>
          <w:rFonts w:ascii="Times New Roman" w:eastAsia="標楷體" w:hAnsi="Times New Roman" w:cs="Times New Roman" w:hint="eastAsia"/>
          <w:color w:val="323232"/>
          <w:spacing w:val="3"/>
        </w:rPr>
        <w:t>勞作教育導師獎勵名額每年至多</w:t>
      </w:r>
      <w:r w:rsidR="00FD2B04">
        <w:rPr>
          <w:rFonts w:ascii="Times New Roman" w:eastAsia="標楷體" w:hAnsi="Times New Roman" w:cs="Times New Roman" w:hint="eastAsia"/>
          <w:color w:val="323232"/>
          <w:spacing w:val="3"/>
        </w:rPr>
        <w:t>2</w:t>
      </w:r>
      <w:r w:rsidR="00904CA3">
        <w:rPr>
          <w:rFonts w:ascii="Times New Roman" w:eastAsia="標楷體" w:hAnsi="Times New Roman" w:cs="Times New Roman" w:hint="eastAsia"/>
          <w:color w:val="323232"/>
          <w:spacing w:val="3"/>
        </w:rPr>
        <w:t>名，由審議會議排序；依序推薦至</w:t>
      </w:r>
      <w:r w:rsidR="004A75FD">
        <w:rPr>
          <w:rFonts w:ascii="Times New Roman" w:eastAsia="標楷體" w:hAnsi="Times New Roman" w:cs="Times New Roman" w:hint="eastAsia"/>
          <w:color w:val="323232"/>
          <w:spacing w:val="3"/>
        </w:rPr>
        <w:t>學校。</w:t>
      </w:r>
    </w:p>
    <w:p w:rsidR="00B84F14" w:rsidRPr="00FF6ED1" w:rsidRDefault="00B84F14" w:rsidP="00B84F14">
      <w:pPr>
        <w:pStyle w:val="a3"/>
        <w:tabs>
          <w:tab w:val="left" w:pos="1322"/>
        </w:tabs>
        <w:spacing w:before="0" w:line="0" w:lineRule="atLeast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FF6ED1">
        <w:rPr>
          <w:rFonts w:ascii="Times New Roman" w:eastAsia="標楷體" w:hAnsi="Times New Roman" w:cs="Times New Roman"/>
          <w:color w:val="323232"/>
          <w:spacing w:val="3"/>
        </w:rPr>
        <w:t>第</w:t>
      </w:r>
      <w:r w:rsidRPr="00FF6ED1">
        <w:rPr>
          <w:rFonts w:ascii="Times New Roman" w:eastAsia="標楷體" w:hAnsi="Times New Roman" w:cs="Times New Roman" w:hint="eastAsia"/>
          <w:color w:val="323232"/>
          <w:spacing w:val="3"/>
        </w:rPr>
        <w:t>九</w:t>
      </w:r>
      <w:r w:rsidRPr="00FF6ED1">
        <w:rPr>
          <w:rFonts w:ascii="Times New Roman" w:eastAsia="標楷體" w:hAnsi="Times New Roman" w:cs="Times New Roman"/>
          <w:color w:val="323232"/>
          <w:spacing w:val="3"/>
        </w:rPr>
        <w:t>條</w:t>
      </w:r>
      <w:r w:rsidRPr="00FF6ED1">
        <w:rPr>
          <w:rFonts w:ascii="Times New Roman" w:eastAsia="標楷體" w:hAnsi="Times New Roman" w:cs="Times New Roman" w:hint="eastAsia"/>
          <w:color w:val="323232"/>
          <w:spacing w:val="3"/>
        </w:rPr>
        <w:tab/>
      </w:r>
      <w:r w:rsidR="00FF6ED1" w:rsidRPr="00FF6ED1">
        <w:rPr>
          <w:rFonts w:ascii="Times New Roman" w:eastAsia="標楷體" w:hAnsi="Times New Roman" w:cs="Times New Roman" w:hint="eastAsia"/>
        </w:rPr>
        <w:t>本辦法若有未盡事宜，</w:t>
      </w:r>
      <w:r w:rsidRPr="00FF6ED1">
        <w:rPr>
          <w:rFonts w:ascii="Times New Roman" w:eastAsia="標楷體" w:hAnsi="Times New Roman" w:cs="Times New Roman" w:hint="eastAsia"/>
        </w:rPr>
        <w:t>依本校「優良導師評選獎勵辦法」及「勞作教育導師獎勵措施」辦理。</w:t>
      </w:r>
    </w:p>
    <w:p w:rsidR="00433F3E" w:rsidRPr="00BB19DF" w:rsidRDefault="00B84F14" w:rsidP="00433F3E">
      <w:pPr>
        <w:pStyle w:val="a3"/>
        <w:tabs>
          <w:tab w:val="left" w:pos="1322"/>
        </w:tabs>
        <w:spacing w:before="0" w:line="0" w:lineRule="atLeast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>
        <w:rPr>
          <w:rFonts w:ascii="Times New Roman" w:eastAsia="標楷體" w:hAnsi="Times New Roman" w:cs="Times New Roman"/>
          <w:color w:val="323232"/>
          <w:spacing w:val="3"/>
        </w:rPr>
        <w:t>第</w:t>
      </w:r>
      <w:r>
        <w:rPr>
          <w:rFonts w:ascii="Times New Roman" w:eastAsia="標楷體" w:hAnsi="Times New Roman" w:cs="Times New Roman" w:hint="eastAsia"/>
          <w:color w:val="323232"/>
          <w:spacing w:val="3"/>
        </w:rPr>
        <w:t>十</w:t>
      </w:r>
      <w:r w:rsidR="00433F3E" w:rsidRPr="00BB19DF">
        <w:rPr>
          <w:rFonts w:ascii="Times New Roman" w:eastAsia="標楷體" w:hAnsi="Times New Roman" w:cs="Times New Roman"/>
          <w:color w:val="323232"/>
          <w:spacing w:val="3"/>
        </w:rPr>
        <w:t>條</w:t>
      </w:r>
      <w:r w:rsidR="00433F3E">
        <w:rPr>
          <w:rFonts w:ascii="Times New Roman" w:eastAsia="標楷體" w:hAnsi="Times New Roman" w:cs="Times New Roman" w:hint="eastAsia"/>
          <w:color w:val="323232"/>
          <w:spacing w:val="3"/>
        </w:rPr>
        <w:tab/>
      </w:r>
      <w:r w:rsidR="00433F3E" w:rsidRPr="00BB19DF">
        <w:rPr>
          <w:rFonts w:ascii="Times New Roman" w:eastAsia="標楷體" w:hAnsi="Times New Roman" w:cs="Times New Roman"/>
          <w:color w:val="323232"/>
          <w:spacing w:val="3"/>
        </w:rPr>
        <w:t>本辦法經本院</w:t>
      </w:r>
      <w:proofErr w:type="gramStart"/>
      <w:r w:rsidR="00433F3E" w:rsidRPr="00BB19DF">
        <w:rPr>
          <w:rFonts w:ascii="Times New Roman" w:eastAsia="標楷體" w:hAnsi="Times New Roman" w:cs="Times New Roman"/>
          <w:color w:val="323232"/>
          <w:spacing w:val="3"/>
        </w:rPr>
        <w:t>院</w:t>
      </w:r>
      <w:proofErr w:type="gramEnd"/>
      <w:r w:rsidR="00433F3E" w:rsidRPr="00BB19DF">
        <w:rPr>
          <w:rFonts w:ascii="Times New Roman" w:eastAsia="標楷體" w:hAnsi="Times New Roman" w:cs="Times New Roman"/>
          <w:color w:val="323232"/>
          <w:spacing w:val="3"/>
        </w:rPr>
        <w:t>務會議通過後公佈實施，修訂時亦同。</w:t>
      </w:r>
    </w:p>
    <w:p w:rsidR="001C4615" w:rsidRDefault="00C46661"/>
    <w:sectPr w:rsidR="001C46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661" w:rsidRDefault="00C46661" w:rsidP="00FF6ED1">
      <w:r>
        <w:separator/>
      </w:r>
    </w:p>
  </w:endnote>
  <w:endnote w:type="continuationSeparator" w:id="0">
    <w:p w:rsidR="00C46661" w:rsidRDefault="00C46661" w:rsidP="00FF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661" w:rsidRDefault="00C46661" w:rsidP="00FF6ED1">
      <w:r>
        <w:separator/>
      </w:r>
    </w:p>
  </w:footnote>
  <w:footnote w:type="continuationSeparator" w:id="0">
    <w:p w:rsidR="00C46661" w:rsidRDefault="00C46661" w:rsidP="00FF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4CCA"/>
    <w:multiLevelType w:val="hybridMultilevel"/>
    <w:tmpl w:val="5A90C532"/>
    <w:lvl w:ilvl="0" w:tplc="21C25F96">
      <w:start w:val="1"/>
      <w:numFmt w:val="taiwaneseCountingThousand"/>
      <w:lvlText w:val="%1、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3E"/>
    <w:rsid w:val="002444BC"/>
    <w:rsid w:val="00433F3E"/>
    <w:rsid w:val="004A75FD"/>
    <w:rsid w:val="0055316C"/>
    <w:rsid w:val="006C208F"/>
    <w:rsid w:val="007E75A1"/>
    <w:rsid w:val="008466BA"/>
    <w:rsid w:val="00904CA3"/>
    <w:rsid w:val="009C383A"/>
    <w:rsid w:val="00A71F0B"/>
    <w:rsid w:val="00B84F14"/>
    <w:rsid w:val="00C46661"/>
    <w:rsid w:val="00D20DA9"/>
    <w:rsid w:val="00DA49E5"/>
    <w:rsid w:val="00F07710"/>
    <w:rsid w:val="00F90A12"/>
    <w:rsid w:val="00FD12B9"/>
    <w:rsid w:val="00FD2B04"/>
    <w:rsid w:val="00FE0127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D807E3-15C4-4D33-97A4-3788FA5D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33F3E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3F3E"/>
    <w:pPr>
      <w:spacing w:before="1"/>
      <w:ind w:left="1322" w:right="236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433F3E"/>
    <w:rPr>
      <w:rFonts w:ascii="新細明體" w:eastAsia="新細明體" w:hAnsi="新細明體" w:cs="新細明體"/>
      <w:kern w:val="0"/>
      <w:sz w:val="28"/>
      <w:szCs w:val="28"/>
      <w:lang w:val="zh-TW" w:bidi="zh-TW"/>
    </w:rPr>
  </w:style>
  <w:style w:type="paragraph" w:styleId="a5">
    <w:name w:val="header"/>
    <w:basedOn w:val="a"/>
    <w:link w:val="a6"/>
    <w:uiPriority w:val="99"/>
    <w:unhideWhenUsed/>
    <w:rsid w:val="00FF6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ED1"/>
    <w:rPr>
      <w:rFonts w:ascii="新細明體" w:eastAsia="新細明體" w:hAnsi="新細明體" w:cs="新細明體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FF6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ED1"/>
    <w:rPr>
      <w:rFonts w:ascii="新細明體" w:eastAsia="新細明體" w:hAnsi="新細明體" w:cs="新細明體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國立中興大學電機資訊學院優良導師及勞作教育導師獎勵辦法</dc:title>
  <dc:creator>User</dc:creator>
  <cp:lastModifiedBy>li</cp:lastModifiedBy>
  <cp:revision>5</cp:revision>
  <dcterms:created xsi:type="dcterms:W3CDTF">2018-12-12T07:37:00Z</dcterms:created>
  <dcterms:modified xsi:type="dcterms:W3CDTF">2020-04-17T13:10:00Z</dcterms:modified>
</cp:coreProperties>
</file>