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ED" w:rsidRPr="00DF7EE9" w:rsidRDefault="005411FA" w:rsidP="002262FE">
      <w:pPr>
        <w:tabs>
          <w:tab w:val="left" w:pos="8347"/>
        </w:tabs>
        <w:spacing w:before="17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DF7EE9">
        <w:rPr>
          <w:rFonts w:ascii="Times New Roman" w:eastAsia="標楷體" w:hAnsi="Times New Roman" w:cs="Times New Roman" w:hint="eastAsia"/>
          <w:sz w:val="32"/>
        </w:rPr>
        <w:t>電</w:t>
      </w:r>
      <w:r w:rsidR="009226D3">
        <w:rPr>
          <w:rFonts w:ascii="Times New Roman" w:eastAsia="標楷體" w:hAnsi="Times New Roman" w:cs="Times New Roman" w:hint="eastAsia"/>
          <w:sz w:val="32"/>
        </w:rPr>
        <w:t>機</w:t>
      </w:r>
      <w:r w:rsidRPr="00DF7EE9">
        <w:rPr>
          <w:rFonts w:ascii="Times New Roman" w:eastAsia="標楷體" w:hAnsi="Times New Roman" w:cs="Times New Roman" w:hint="eastAsia"/>
          <w:sz w:val="32"/>
        </w:rPr>
        <w:t>資</w:t>
      </w:r>
      <w:r w:rsidR="00D55B05">
        <w:rPr>
          <w:rFonts w:ascii="Times New Roman" w:eastAsia="標楷體" w:hAnsi="Times New Roman" w:cs="Times New Roman" w:hint="eastAsia"/>
          <w:sz w:val="32"/>
        </w:rPr>
        <w:t>訊</w:t>
      </w:r>
      <w:r w:rsidR="00201340" w:rsidRPr="00DF7EE9">
        <w:rPr>
          <w:rFonts w:ascii="Times New Roman" w:eastAsia="標楷體" w:hAnsi="Times New Roman" w:cs="Times New Roman"/>
          <w:sz w:val="32"/>
        </w:rPr>
        <w:t>學院各系所審核教師升等資料注意事項</w:t>
      </w:r>
      <w:r w:rsidR="00201340" w:rsidRPr="00DF7EE9">
        <w:rPr>
          <w:rFonts w:ascii="Times New Roman" w:eastAsia="標楷體" w:hAnsi="Times New Roman" w:cs="Times New Roman"/>
          <w:sz w:val="32"/>
        </w:rPr>
        <w:tab/>
      </w:r>
      <w:r w:rsidR="00201340" w:rsidRPr="00DF7EE9">
        <w:rPr>
          <w:rFonts w:ascii="Times New Roman" w:eastAsia="標楷體" w:hAnsi="Times New Roman" w:cs="Times New Roman"/>
          <w:position w:val="3"/>
        </w:rPr>
        <w:t>（</w:t>
      </w:r>
      <w:r w:rsidR="00201340" w:rsidRPr="00DF7EE9">
        <w:rPr>
          <w:rFonts w:ascii="Times New Roman" w:eastAsia="標楷體" w:hAnsi="Times New Roman" w:cs="Times New Roman"/>
          <w:position w:val="3"/>
        </w:rPr>
        <w:t>10</w:t>
      </w:r>
      <w:r w:rsidR="009A19BB" w:rsidRPr="00DF7EE9">
        <w:rPr>
          <w:rFonts w:ascii="Times New Roman" w:eastAsia="標楷體" w:hAnsi="Times New Roman" w:cs="Times New Roman" w:hint="eastAsia"/>
          <w:position w:val="3"/>
        </w:rPr>
        <w:t>7</w:t>
      </w:r>
      <w:r w:rsidR="00201340" w:rsidRPr="00DF7EE9">
        <w:rPr>
          <w:rFonts w:ascii="Times New Roman" w:eastAsia="標楷體" w:hAnsi="Times New Roman" w:cs="Times New Roman"/>
          <w:position w:val="3"/>
        </w:rPr>
        <w:t>.</w:t>
      </w:r>
      <w:r w:rsidR="009D53B2">
        <w:rPr>
          <w:rFonts w:ascii="Times New Roman" w:eastAsia="標楷體" w:hAnsi="Times New Roman" w:cs="Times New Roman" w:hint="eastAsia"/>
          <w:position w:val="3"/>
        </w:rPr>
        <w:t>08</w:t>
      </w:r>
      <w:r w:rsidR="00201340" w:rsidRPr="00DF7EE9">
        <w:rPr>
          <w:rFonts w:ascii="Times New Roman" w:eastAsia="標楷體" w:hAnsi="Times New Roman" w:cs="Times New Roman"/>
          <w:position w:val="3"/>
        </w:rPr>
        <w:t>.</w:t>
      </w:r>
      <w:r w:rsidR="009D53B2">
        <w:rPr>
          <w:rFonts w:ascii="Times New Roman" w:eastAsia="標楷體" w:hAnsi="Times New Roman" w:cs="Times New Roman" w:hint="eastAsia"/>
          <w:position w:val="3"/>
        </w:rPr>
        <w:t>01</w:t>
      </w:r>
      <w:r w:rsidR="00201340" w:rsidRPr="00DF7EE9">
        <w:rPr>
          <w:rFonts w:ascii="Times New Roman" w:eastAsia="標楷體" w:hAnsi="Times New Roman" w:cs="Times New Roman"/>
          <w:position w:val="3"/>
        </w:rPr>
        <w:t>）</w:t>
      </w:r>
    </w:p>
    <w:p w:rsidR="009A19BB" w:rsidRPr="00DF7EE9" w:rsidRDefault="00201340" w:rsidP="00F01390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z w:val="24"/>
        </w:rPr>
        <w:t>代表著作（或學位論文）須符合「國立中興大學</w:t>
      </w:r>
      <w:r w:rsidRPr="00DF7EE9">
        <w:rPr>
          <w:rFonts w:ascii="Times New Roman" w:eastAsia="標楷體" w:hAnsi="Times New Roman" w:cs="Times New Roman" w:hint="eastAsia"/>
          <w:sz w:val="24"/>
        </w:rPr>
        <w:t>電資</w:t>
      </w:r>
      <w:r w:rsidRPr="00DF7EE9">
        <w:rPr>
          <w:rFonts w:ascii="Times New Roman" w:eastAsia="標楷體" w:hAnsi="Times New Roman" w:cs="Times New Roman"/>
          <w:sz w:val="24"/>
        </w:rPr>
        <w:t>學院教師</w:t>
      </w:r>
      <w:proofErr w:type="gramStart"/>
      <w:r w:rsidRPr="00DF7EE9">
        <w:rPr>
          <w:rFonts w:ascii="Times New Roman" w:eastAsia="標楷體" w:hAnsi="Times New Roman" w:cs="Times New Roman"/>
          <w:sz w:val="24"/>
        </w:rPr>
        <w:t>聘任暨升等</w:t>
      </w:r>
      <w:proofErr w:type="gramEnd"/>
      <w:r w:rsidRPr="00DF7EE9">
        <w:rPr>
          <w:rFonts w:ascii="Times New Roman" w:eastAsia="標楷體" w:hAnsi="Times New Roman" w:cs="Times New Roman"/>
          <w:sz w:val="24"/>
        </w:rPr>
        <w:t>評審辦法」之相關規定。</w:t>
      </w:r>
    </w:p>
    <w:p w:rsidR="009A19BB" w:rsidRPr="00DF7EE9" w:rsidRDefault="00201340" w:rsidP="00F01390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</w:rPr>
      </w:pPr>
      <w:proofErr w:type="gramStart"/>
      <w:r w:rsidRPr="00DF7EE9">
        <w:rPr>
          <w:rFonts w:ascii="Times New Roman" w:eastAsia="標楷體" w:hAnsi="Times New Roman" w:cs="Times New Roman"/>
          <w:spacing w:val="-8"/>
          <w:sz w:val="24"/>
        </w:rPr>
        <w:t>擬升等</w:t>
      </w:r>
      <w:proofErr w:type="gramEnd"/>
      <w:r w:rsidRPr="00DF7EE9">
        <w:rPr>
          <w:rFonts w:ascii="Times New Roman" w:eastAsia="標楷體" w:hAnsi="Times New Roman" w:cs="Times New Roman"/>
          <w:spacing w:val="-8"/>
          <w:sz w:val="24"/>
        </w:rPr>
        <w:t>教師之學術研究成果必須</w:t>
      </w:r>
      <w:r w:rsidRPr="00DF7EE9">
        <w:rPr>
          <w:rFonts w:ascii="Times New Roman" w:eastAsia="標楷體" w:hAnsi="Times New Roman" w:cs="Times New Roman"/>
          <w:spacing w:val="-2"/>
          <w:sz w:val="24"/>
        </w:rPr>
        <w:t>符合各系所所訂之最低門檻指標</w:t>
      </w:r>
      <w:r w:rsidRPr="00DF7EE9">
        <w:rPr>
          <w:rFonts w:ascii="Times New Roman" w:eastAsia="標楷體" w:hAnsi="Times New Roman" w:cs="Times New Roman"/>
          <w:spacing w:val="-27"/>
          <w:sz w:val="24"/>
        </w:rPr>
        <w:t>，方得提出申請。</w:t>
      </w:r>
      <w:r w:rsidRPr="00DF7EE9">
        <w:rPr>
          <w:rFonts w:ascii="Times New Roman" w:eastAsia="標楷體" w:hAnsi="Times New Roman" w:cs="Times New Roman"/>
          <w:sz w:val="24"/>
        </w:rPr>
        <w:t>（第七條</w:t>
      </w:r>
      <w:r w:rsidRPr="00DF7EE9">
        <w:rPr>
          <w:rFonts w:ascii="Times New Roman" w:eastAsia="標楷體" w:hAnsi="Times New Roman" w:cs="Times New Roman"/>
          <w:spacing w:val="-15"/>
          <w:sz w:val="24"/>
        </w:rPr>
        <w:t>）</w:t>
      </w:r>
    </w:p>
    <w:p w:rsidR="009A19BB" w:rsidRPr="00DF7EE9" w:rsidRDefault="00201340" w:rsidP="00F01390">
      <w:pPr>
        <w:pStyle w:val="a4"/>
        <w:numPr>
          <w:ilvl w:val="0"/>
          <w:numId w:val="1"/>
        </w:numPr>
        <w:spacing w:before="88"/>
        <w:ind w:right="295"/>
        <w:jc w:val="both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z w:val="24"/>
        </w:rPr>
        <w:t>本院擬申請升等教師</w:t>
      </w:r>
      <w:proofErr w:type="gramStart"/>
      <w:r w:rsidRPr="00DF7EE9">
        <w:rPr>
          <w:rFonts w:ascii="Times New Roman" w:eastAsia="標楷體" w:hAnsi="Times New Roman" w:cs="Times New Roman"/>
          <w:sz w:val="24"/>
        </w:rPr>
        <w:t>均須繳送在原級</w:t>
      </w:r>
      <w:proofErr w:type="gramEnd"/>
      <w:r w:rsidRPr="00DF7EE9">
        <w:rPr>
          <w:rFonts w:ascii="Times New Roman" w:eastAsia="標楷體" w:hAnsi="Times New Roman" w:cs="Times New Roman"/>
          <w:sz w:val="24"/>
        </w:rPr>
        <w:t>職完成</w:t>
      </w:r>
      <w:r w:rsidRPr="00DF7EE9">
        <w:rPr>
          <w:rFonts w:ascii="Times New Roman" w:eastAsia="標楷體" w:hAnsi="Times New Roman" w:cs="Times New Roman"/>
          <w:spacing w:val="-7"/>
          <w:sz w:val="24"/>
        </w:rPr>
        <w:t>之五年內「代表著作」及「參考著作」。</w:t>
      </w:r>
    </w:p>
    <w:p w:rsidR="009A19BB" w:rsidRPr="00DF7EE9" w:rsidRDefault="00201340" w:rsidP="00F01390">
      <w:pPr>
        <w:pStyle w:val="a4"/>
        <w:spacing w:before="88"/>
        <w:ind w:left="579" w:right="295"/>
        <w:jc w:val="both"/>
        <w:rPr>
          <w:rFonts w:ascii="Times New Roman" w:eastAsia="標楷體" w:hAnsi="Times New Roman" w:cs="Times New Roman"/>
          <w:spacing w:val="-17"/>
        </w:rPr>
      </w:pPr>
      <w:r w:rsidRPr="00DF7EE9">
        <w:rPr>
          <w:rFonts w:ascii="Times New Roman" w:eastAsia="標楷體" w:hAnsi="Times New Roman" w:cs="Times New Roman"/>
          <w:spacing w:val="-1"/>
        </w:rPr>
        <w:t>代表著作出版日期：擬於八月一日升等者，至遲應於當年二月十五日前發表或出版，擬於</w:t>
      </w:r>
      <w:r w:rsidRPr="00DF7EE9">
        <w:rPr>
          <w:rFonts w:ascii="Times New Roman" w:eastAsia="標楷體" w:hAnsi="Times New Roman" w:cs="Times New Roman"/>
        </w:rPr>
        <w:t>二月一日升等者，至遲應於前一年八月十五日前發表或出版。參考著作出版日期至升等生效日止，</w:t>
      </w:r>
      <w:proofErr w:type="gramStart"/>
      <w:r w:rsidRPr="00DF7EE9">
        <w:rPr>
          <w:rFonts w:ascii="Times New Roman" w:eastAsia="標楷體" w:hAnsi="Times New Roman" w:cs="Times New Roman"/>
        </w:rPr>
        <w:t>或於系</w:t>
      </w:r>
      <w:proofErr w:type="gramEnd"/>
      <w:r w:rsidRPr="00DF7EE9">
        <w:rPr>
          <w:rFonts w:ascii="Times New Roman" w:eastAsia="標楷體" w:hAnsi="Times New Roman" w:cs="Times New Roman"/>
        </w:rPr>
        <w:t>、院教評會議前提出被期刊接受之證明函件，及於升等生效日前發表之證</w:t>
      </w:r>
      <w:r w:rsidRPr="00DF7EE9">
        <w:rPr>
          <w:rFonts w:ascii="Times New Roman" w:eastAsia="標楷體" w:hAnsi="Times New Roman" w:cs="Times New Roman"/>
          <w:spacing w:val="-12"/>
        </w:rPr>
        <w:t>明函件。其分上下或</w:t>
      </w:r>
      <w:r w:rsidRPr="00DF7EE9">
        <w:rPr>
          <w:rFonts w:ascii="Times New Roman" w:eastAsia="標楷體" w:hAnsi="Times New Roman" w:cs="Times New Roman"/>
          <w:spacing w:val="-3"/>
        </w:rPr>
        <w:t>（</w:t>
      </w:r>
      <w:r w:rsidRPr="00DF7EE9">
        <w:rPr>
          <w:rFonts w:ascii="Times New Roman" w:eastAsia="標楷體" w:hAnsi="Times New Roman" w:cs="Times New Roman"/>
        </w:rPr>
        <w:t>一</w:t>
      </w:r>
      <w:r w:rsidRPr="00DF7EE9">
        <w:rPr>
          <w:rFonts w:ascii="Times New Roman" w:eastAsia="標楷體" w:hAnsi="Times New Roman" w:cs="Times New Roman"/>
          <w:spacing w:val="-164"/>
        </w:rPr>
        <w:t>）</w:t>
      </w:r>
      <w:r w:rsidRPr="00DF7EE9">
        <w:rPr>
          <w:rFonts w:ascii="Times New Roman" w:eastAsia="標楷體" w:hAnsi="Times New Roman" w:cs="Times New Roman"/>
        </w:rPr>
        <w:t>（二</w:t>
      </w:r>
      <w:r w:rsidRPr="00DF7EE9">
        <w:rPr>
          <w:rFonts w:ascii="Times New Roman" w:eastAsia="標楷體" w:hAnsi="Times New Roman" w:cs="Times New Roman"/>
          <w:spacing w:val="-44"/>
        </w:rPr>
        <w:t>）</w:t>
      </w:r>
      <w:r w:rsidRPr="00DF7EE9">
        <w:rPr>
          <w:rFonts w:ascii="Times New Roman" w:eastAsia="標楷體" w:hAnsi="Times New Roman" w:cs="Times New Roman"/>
          <w:spacing w:val="-11"/>
        </w:rPr>
        <w:t>先後出版之合訂本，先後出版日期亦同。本辦法所稱之「代</w:t>
      </w:r>
      <w:r w:rsidRPr="00DF7EE9">
        <w:rPr>
          <w:rFonts w:ascii="Times New Roman" w:eastAsia="標楷體" w:hAnsi="Times New Roman" w:cs="Times New Roman"/>
          <w:sz w:val="24"/>
        </w:rPr>
        <w:t>表著作」應以第一作者或通訊作者</w:t>
      </w:r>
      <w:r w:rsidRPr="00DF7EE9">
        <w:rPr>
          <w:rFonts w:ascii="Times New Roman" w:eastAsia="標楷體" w:hAnsi="Times New Roman" w:cs="Times New Roman"/>
          <w:spacing w:val="-1"/>
          <w:sz w:val="24"/>
        </w:rPr>
        <w:t>出版於學術性刊物</w:t>
      </w:r>
      <w:r w:rsidRPr="00DF7EE9">
        <w:rPr>
          <w:rFonts w:ascii="Times New Roman" w:eastAsia="標楷體" w:hAnsi="Times New Roman" w:cs="Times New Roman"/>
          <w:sz w:val="24"/>
        </w:rPr>
        <w:t>（有審查制度者）之研究論文或專著</w:t>
      </w:r>
      <w:r w:rsidRPr="00DF7EE9">
        <w:rPr>
          <w:rFonts w:ascii="Times New Roman" w:eastAsia="標楷體" w:hAnsi="Times New Roman" w:cs="Times New Roman"/>
        </w:rPr>
        <w:t>為限。編輯及翻譯著作均不得提為「參考著作</w:t>
      </w:r>
      <w:r w:rsidRPr="00DF7EE9">
        <w:rPr>
          <w:rFonts w:ascii="Times New Roman" w:eastAsia="標楷體" w:hAnsi="Times New Roman" w:cs="Times New Roman"/>
          <w:spacing w:val="-120"/>
        </w:rPr>
        <w:t>」。</w:t>
      </w:r>
      <w:r w:rsidR="00F01390">
        <w:rPr>
          <w:rFonts w:ascii="Times New Roman" w:eastAsia="標楷體" w:hAnsi="Times New Roman" w:cs="Times New Roman" w:hint="eastAsia"/>
        </w:rPr>
        <w:t>「</w:t>
      </w:r>
      <w:r w:rsidRPr="00DF7EE9">
        <w:rPr>
          <w:rFonts w:ascii="Times New Roman" w:eastAsia="標楷體" w:hAnsi="Times New Roman" w:cs="Times New Roman"/>
        </w:rPr>
        <w:t>代表著作」以研究論文一篇或專著一</w:t>
      </w:r>
      <w:r w:rsidRPr="00DF7EE9">
        <w:rPr>
          <w:rFonts w:ascii="Times New Roman" w:eastAsia="標楷體" w:hAnsi="Times New Roman" w:cs="Times New Roman"/>
          <w:spacing w:val="-16"/>
        </w:rPr>
        <w:t>冊</w:t>
      </w:r>
      <w:r w:rsidRPr="00DF7EE9">
        <w:rPr>
          <w:rFonts w:ascii="Times New Roman" w:eastAsia="標楷體" w:hAnsi="Times New Roman" w:cs="Times New Roman"/>
        </w:rPr>
        <w:t>為原則。系列性或連續性研究論文亦可提為「代表著作</w:t>
      </w:r>
      <w:r w:rsidRPr="00DF7EE9">
        <w:rPr>
          <w:rFonts w:ascii="Times New Roman" w:eastAsia="標楷體" w:hAnsi="Times New Roman" w:cs="Times New Roman"/>
          <w:spacing w:val="-120"/>
        </w:rPr>
        <w:t>」</w:t>
      </w:r>
      <w:r w:rsidRPr="00DF7EE9">
        <w:rPr>
          <w:rFonts w:ascii="Times New Roman" w:eastAsia="標楷體" w:hAnsi="Times New Roman" w:cs="Times New Roman"/>
        </w:rPr>
        <w:t>。</w:t>
      </w:r>
      <w:r w:rsidRPr="00DF7EE9">
        <w:rPr>
          <w:rFonts w:ascii="Times New Roman" w:eastAsia="標楷體" w:hAnsi="Times New Roman" w:cs="Times New Roman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="00D20B8D">
        <w:rPr>
          <w:rFonts w:ascii="Times New Roman" w:eastAsia="標楷體" w:hAnsi="Times New Roman" w:cs="Times New Roman" w:hint="eastAsia"/>
        </w:rPr>
        <w:tab/>
      </w:r>
      <w:r w:rsidRPr="00DF7EE9">
        <w:rPr>
          <w:rFonts w:ascii="Times New Roman" w:eastAsia="標楷體" w:hAnsi="Times New Roman" w:cs="Times New Roman"/>
        </w:rPr>
        <w:t>（第九條</w:t>
      </w:r>
      <w:r w:rsidRPr="00DF7EE9">
        <w:rPr>
          <w:rFonts w:ascii="Times New Roman" w:eastAsia="標楷體" w:hAnsi="Times New Roman" w:cs="Times New Roman"/>
          <w:spacing w:val="-17"/>
        </w:rPr>
        <w:t>）</w:t>
      </w:r>
    </w:p>
    <w:p w:rsidR="006800ED" w:rsidRPr="00DF7EE9" w:rsidRDefault="00201340" w:rsidP="00F01390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pacing w:val="-1"/>
        </w:rPr>
      </w:pPr>
      <w:proofErr w:type="gramStart"/>
      <w:r w:rsidRPr="00DF7EE9">
        <w:rPr>
          <w:rFonts w:ascii="Times New Roman" w:eastAsia="標楷體" w:hAnsi="Times New Roman" w:cs="Times New Roman"/>
        </w:rPr>
        <w:t>擬升等</w:t>
      </w:r>
      <w:proofErr w:type="gramEnd"/>
      <w:r w:rsidRPr="00DF7EE9">
        <w:rPr>
          <w:rFonts w:ascii="Times New Roman" w:eastAsia="標楷體" w:hAnsi="Times New Roman" w:cs="Times New Roman"/>
        </w:rPr>
        <w:t>之教師必須於規定時限內，整理相關個人著作與資料向所屬系所教評會提出申請。</w:t>
      </w:r>
    </w:p>
    <w:p w:rsidR="009A19BB" w:rsidRPr="00DF7EE9" w:rsidRDefault="00201340" w:rsidP="00F01390">
      <w:pPr>
        <w:tabs>
          <w:tab w:val="left" w:pos="8657"/>
        </w:tabs>
        <w:ind w:left="614"/>
        <w:jc w:val="both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Pr="00DF7EE9">
        <w:rPr>
          <w:rFonts w:ascii="Times New Roman" w:eastAsia="標楷體" w:hAnsi="Times New Roman" w:cs="Times New Roman"/>
          <w:sz w:val="24"/>
        </w:rPr>
        <w:t>經系所教評會審查通過後</w:t>
      </w:r>
      <w:r w:rsidRPr="00DF7EE9">
        <w:rPr>
          <w:rFonts w:ascii="Times New Roman" w:eastAsia="標楷體" w:hAnsi="Times New Roman" w:cs="Times New Roman"/>
          <w:spacing w:val="3"/>
          <w:sz w:val="24"/>
        </w:rPr>
        <w:t>，</w:t>
      </w:r>
      <w:r w:rsidRPr="00DF7EE9">
        <w:rPr>
          <w:rFonts w:ascii="Times New Roman" w:eastAsia="標楷體" w:hAnsi="Times New Roman" w:cs="Times New Roman"/>
          <w:sz w:val="24"/>
        </w:rPr>
        <w:t>由院辦理著作外</w:t>
      </w:r>
      <w:r w:rsidRPr="00DF7EE9">
        <w:rPr>
          <w:rFonts w:ascii="Times New Roman" w:eastAsia="標楷體" w:hAnsi="Times New Roman" w:cs="Times New Roman"/>
          <w:spacing w:val="-3"/>
          <w:sz w:val="24"/>
        </w:rPr>
        <w:t>審</w:t>
      </w:r>
      <w:r w:rsidRPr="00DF7EE9">
        <w:rPr>
          <w:rFonts w:ascii="Times New Roman" w:eastAsia="標楷體" w:hAnsi="Times New Roman" w:cs="Times New Roman"/>
          <w:sz w:val="24"/>
        </w:rPr>
        <w:t>。</w:t>
      </w:r>
      <w:r w:rsidRPr="00DF7EE9">
        <w:rPr>
          <w:rFonts w:ascii="Times New Roman" w:eastAsia="標楷體" w:hAnsi="Times New Roman" w:cs="Times New Roman"/>
          <w:sz w:val="24"/>
        </w:rPr>
        <w:tab/>
      </w:r>
      <w:r w:rsidR="009A19BB" w:rsidRPr="00DF7EE9">
        <w:rPr>
          <w:rFonts w:ascii="Times New Roman" w:eastAsia="標楷體" w:hAnsi="Times New Roman" w:cs="Times New Roman"/>
          <w:sz w:val="24"/>
        </w:rPr>
        <w:t>（第二</w:t>
      </w:r>
      <w:r w:rsidR="009A19BB" w:rsidRPr="00DF7EE9">
        <w:rPr>
          <w:rFonts w:ascii="Times New Roman" w:eastAsia="標楷體" w:hAnsi="Times New Roman" w:cs="Times New Roman" w:hint="eastAsia"/>
          <w:sz w:val="24"/>
        </w:rPr>
        <w:t>十條</w:t>
      </w:r>
      <w:r w:rsidRPr="00DF7EE9">
        <w:rPr>
          <w:rFonts w:ascii="Times New Roman" w:eastAsia="標楷體" w:hAnsi="Times New Roman" w:cs="Times New Roman"/>
          <w:sz w:val="24"/>
        </w:rPr>
        <w:t>）</w:t>
      </w:r>
    </w:p>
    <w:p w:rsidR="006800ED" w:rsidRPr="00DF7EE9" w:rsidRDefault="00201340" w:rsidP="00F01390">
      <w:pPr>
        <w:pStyle w:val="a4"/>
        <w:numPr>
          <w:ilvl w:val="0"/>
          <w:numId w:val="1"/>
        </w:numPr>
        <w:tabs>
          <w:tab w:val="left" w:pos="8657"/>
        </w:tabs>
        <w:jc w:val="both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z w:val="24"/>
        </w:rPr>
        <w:t>代表著作與參考著作：</w:t>
      </w:r>
      <w:proofErr w:type="gramStart"/>
      <w:r w:rsidRPr="00DF7EE9">
        <w:rPr>
          <w:rFonts w:ascii="Times New Roman" w:eastAsia="標楷體" w:hAnsi="Times New Roman" w:cs="Times New Roman"/>
          <w:sz w:val="24"/>
        </w:rPr>
        <w:t>取得現級職</w:t>
      </w:r>
      <w:proofErr w:type="gramEnd"/>
      <w:r w:rsidRPr="00DF7EE9">
        <w:rPr>
          <w:rFonts w:ascii="Times New Roman" w:eastAsia="標楷體" w:hAnsi="Times New Roman" w:cs="Times New Roman"/>
          <w:sz w:val="24"/>
        </w:rPr>
        <w:t>之學位論文及其所發表之著作，升等人應事先聲明，且</w:t>
      </w:r>
    </w:p>
    <w:p w:rsidR="006800ED" w:rsidRPr="00DF7EE9" w:rsidRDefault="006800ED" w:rsidP="00F01390">
      <w:pPr>
        <w:pStyle w:val="a3"/>
        <w:ind w:left="2974"/>
        <w:rPr>
          <w:rFonts w:ascii="Times New Roman" w:eastAsia="標楷體" w:hAnsi="Times New Roman" w:cs="Times New Roman"/>
          <w:sz w:val="2"/>
        </w:rPr>
      </w:pPr>
    </w:p>
    <w:p w:rsidR="009A19BB" w:rsidRPr="00DF7EE9" w:rsidRDefault="00201340" w:rsidP="00F01390">
      <w:pPr>
        <w:tabs>
          <w:tab w:val="left" w:pos="2865"/>
          <w:tab w:val="left" w:pos="8383"/>
        </w:tabs>
        <w:ind w:left="580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proofErr w:type="gramStart"/>
      <w:r w:rsidRPr="00DF7EE9">
        <w:rPr>
          <w:rFonts w:ascii="Times New Roman" w:eastAsia="標楷體" w:hAnsi="Times New Roman" w:cs="Times New Roman"/>
          <w:sz w:val="24"/>
        </w:rPr>
        <w:t>不</w:t>
      </w:r>
      <w:proofErr w:type="gramEnd"/>
      <w:r w:rsidRPr="00DF7EE9">
        <w:rPr>
          <w:rFonts w:ascii="Times New Roman" w:eastAsia="標楷體" w:hAnsi="Times New Roman" w:cs="Times New Roman"/>
          <w:sz w:val="24"/>
        </w:rPr>
        <w:t>得計入評分內。</w:t>
      </w:r>
      <w:r w:rsidRPr="00DF7EE9">
        <w:rPr>
          <w:rFonts w:ascii="Times New Roman" w:eastAsia="標楷體" w:hAnsi="Times New Roman" w:cs="Times New Roman"/>
          <w:sz w:val="24"/>
        </w:rPr>
        <w:tab/>
      </w:r>
      <w:r w:rsidRPr="00DF7EE9">
        <w:rPr>
          <w:rFonts w:ascii="Times New Roman" w:eastAsia="標楷體" w:hAnsi="Times New Roman" w:cs="Times New Roman"/>
          <w:sz w:val="24"/>
        </w:rPr>
        <w:tab/>
      </w:r>
      <w:r w:rsidRPr="00DF7EE9">
        <w:rPr>
          <w:rFonts w:ascii="Times New Roman" w:eastAsia="標楷體" w:hAnsi="Times New Roman" w:cs="Times New Roman"/>
          <w:sz w:val="24"/>
        </w:rPr>
        <w:t>（</w:t>
      </w:r>
      <w:r w:rsidR="003055B3" w:rsidRPr="00DF7EE9">
        <w:rPr>
          <w:rFonts w:ascii="Times New Roman" w:eastAsia="標楷體" w:hAnsi="Times New Roman" w:cs="Times New Roman"/>
          <w:sz w:val="24"/>
        </w:rPr>
        <w:t>第二十</w:t>
      </w:r>
      <w:r w:rsidR="00D20B8D">
        <w:rPr>
          <w:rFonts w:ascii="Times New Roman" w:eastAsia="標楷體" w:hAnsi="Times New Roman" w:cs="Times New Roman" w:hint="eastAsia"/>
          <w:sz w:val="24"/>
        </w:rPr>
        <w:t>一</w:t>
      </w:r>
      <w:r w:rsidRPr="00DF7EE9">
        <w:rPr>
          <w:rFonts w:ascii="Times New Roman" w:eastAsia="標楷體" w:hAnsi="Times New Roman" w:cs="Times New Roman"/>
          <w:sz w:val="24"/>
        </w:rPr>
        <w:t>條）</w:t>
      </w:r>
    </w:p>
    <w:p w:rsidR="006800ED" w:rsidRPr="00DF7EE9" w:rsidRDefault="00201340" w:rsidP="00F01390">
      <w:pPr>
        <w:pStyle w:val="a4"/>
        <w:numPr>
          <w:ilvl w:val="0"/>
          <w:numId w:val="1"/>
        </w:numPr>
        <w:tabs>
          <w:tab w:val="left" w:pos="2865"/>
          <w:tab w:val="left" w:pos="8383"/>
        </w:tabs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</w:rPr>
        <w:t>本院教師曾以學位證書及學位論文送審應聘或改聘</w:t>
      </w:r>
      <w:proofErr w:type="gramStart"/>
      <w:r w:rsidRPr="00DF7EE9">
        <w:rPr>
          <w:rFonts w:ascii="Times New Roman" w:eastAsia="標楷體" w:hAnsi="Times New Roman" w:cs="Times New Roman"/>
        </w:rPr>
        <w:t>為現級職</w:t>
      </w:r>
      <w:proofErr w:type="gramEnd"/>
      <w:r w:rsidRPr="00DF7EE9">
        <w:rPr>
          <w:rFonts w:ascii="Times New Roman" w:eastAsia="標楷體" w:hAnsi="Times New Roman" w:cs="Times New Roman"/>
        </w:rPr>
        <w:t>，擬再升等或改聘者，應提出</w:t>
      </w:r>
    </w:p>
    <w:p w:rsidR="006800ED" w:rsidRPr="00DF7EE9" w:rsidRDefault="00201340" w:rsidP="00F01390">
      <w:pPr>
        <w:ind w:left="614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Pr="00DF7EE9">
        <w:rPr>
          <w:rFonts w:ascii="Times New Roman" w:eastAsia="標楷體" w:hAnsi="Times New Roman" w:cs="Times New Roman"/>
          <w:sz w:val="24"/>
        </w:rPr>
        <w:t>原應聘、改</w:t>
      </w:r>
      <w:proofErr w:type="gramStart"/>
      <w:r w:rsidRPr="00DF7EE9">
        <w:rPr>
          <w:rFonts w:ascii="Times New Roman" w:eastAsia="標楷體" w:hAnsi="Times New Roman" w:cs="Times New Roman"/>
          <w:sz w:val="24"/>
        </w:rPr>
        <w:t>聘任現級職</w:t>
      </w:r>
      <w:proofErr w:type="gramEnd"/>
      <w:r w:rsidRPr="00DF7EE9">
        <w:rPr>
          <w:rFonts w:ascii="Times New Roman" w:eastAsia="標楷體" w:hAnsi="Times New Roman" w:cs="Times New Roman"/>
          <w:sz w:val="24"/>
        </w:rPr>
        <w:t>之學位論文（含以學位論文發表之著作）以外之研究著作作為代表</w:t>
      </w:r>
    </w:p>
    <w:p w:rsidR="006800ED" w:rsidRPr="00DF7EE9" w:rsidRDefault="00201340" w:rsidP="00F01390">
      <w:pPr>
        <w:tabs>
          <w:tab w:val="left" w:pos="8417"/>
        </w:tabs>
        <w:ind w:left="614"/>
        <w:rPr>
          <w:rFonts w:ascii="Times New Roman" w:eastAsia="標楷體" w:hAnsi="Times New Roman" w:cs="Times New Roman"/>
          <w:sz w:val="24"/>
        </w:rPr>
      </w:pPr>
      <w:r w:rsidRPr="00DF7EE9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Pr="00DF7EE9">
        <w:rPr>
          <w:rFonts w:ascii="Times New Roman" w:eastAsia="標楷體" w:hAnsi="Times New Roman" w:cs="Times New Roman"/>
          <w:sz w:val="24"/>
        </w:rPr>
        <w:t>著作與研究著作，送</w:t>
      </w:r>
      <w:r w:rsidRPr="00DF7EE9">
        <w:rPr>
          <w:rFonts w:ascii="Times New Roman" w:eastAsia="標楷體" w:hAnsi="Times New Roman" w:cs="Times New Roman"/>
          <w:spacing w:val="-3"/>
          <w:sz w:val="24"/>
        </w:rPr>
        <w:t>本</w:t>
      </w:r>
      <w:r w:rsidRPr="00DF7EE9">
        <w:rPr>
          <w:rFonts w:ascii="Times New Roman" w:eastAsia="標楷體" w:hAnsi="Times New Roman" w:cs="Times New Roman"/>
          <w:sz w:val="24"/>
        </w:rPr>
        <w:t>院教評會。</w:t>
      </w:r>
      <w:r w:rsidRPr="00DF7EE9">
        <w:rPr>
          <w:rFonts w:ascii="Times New Roman" w:eastAsia="標楷體" w:hAnsi="Times New Roman" w:cs="Times New Roman"/>
          <w:sz w:val="24"/>
        </w:rPr>
        <w:tab/>
      </w:r>
      <w:r w:rsidRPr="00DF7EE9">
        <w:rPr>
          <w:rFonts w:ascii="Times New Roman" w:eastAsia="標楷體" w:hAnsi="Times New Roman" w:cs="Times New Roman"/>
          <w:sz w:val="24"/>
        </w:rPr>
        <w:t>（</w:t>
      </w:r>
      <w:r w:rsidR="00B60732" w:rsidRPr="00DF7EE9">
        <w:rPr>
          <w:rFonts w:ascii="Times New Roman" w:eastAsia="標楷體" w:hAnsi="Times New Roman" w:cs="Times New Roman"/>
          <w:sz w:val="24"/>
        </w:rPr>
        <w:t>第</w:t>
      </w:r>
      <w:r w:rsidR="00D20B8D">
        <w:rPr>
          <w:rFonts w:ascii="Times New Roman" w:eastAsia="標楷體" w:hAnsi="Times New Roman" w:cs="Times New Roman" w:hint="eastAsia"/>
          <w:sz w:val="24"/>
        </w:rPr>
        <w:t>二十九</w:t>
      </w:r>
      <w:r w:rsidRPr="00DF7EE9">
        <w:rPr>
          <w:rFonts w:ascii="Times New Roman" w:eastAsia="標楷體" w:hAnsi="Times New Roman" w:cs="Times New Roman"/>
          <w:sz w:val="24"/>
        </w:rPr>
        <w:t>條）</w:t>
      </w:r>
    </w:p>
    <w:p w:rsidR="006800ED" w:rsidRPr="00DF7EE9" w:rsidRDefault="00201340">
      <w:pPr>
        <w:spacing w:before="23"/>
        <w:ind w:left="1300"/>
        <w:rPr>
          <w:rFonts w:ascii="Times New Roman" w:eastAsia="標楷體" w:hAnsi="Times New Roman" w:cs="Times New Roman"/>
          <w:sz w:val="32"/>
        </w:rPr>
      </w:pPr>
      <w:r w:rsidRPr="00DF7EE9">
        <w:rPr>
          <w:rFonts w:ascii="新細明體" w:eastAsia="新細明體" w:hAnsi="新細明體" w:cs="新細明體" w:hint="eastAsia"/>
          <w:w w:val="99"/>
          <w:sz w:val="32"/>
        </w:rPr>
        <w:t>◎</w:t>
      </w:r>
      <w:r w:rsidRPr="00DF7EE9">
        <w:rPr>
          <w:rFonts w:ascii="Times New Roman" w:eastAsia="標楷體" w:hAnsi="Times New Roman" w:cs="Times New Roman"/>
          <w:w w:val="99"/>
          <w:sz w:val="32"/>
        </w:rPr>
        <w:t>升等教師自我檢查表</w:t>
      </w:r>
      <w:proofErr w:type="gramStart"/>
      <w:r w:rsidRPr="00DF7EE9">
        <w:rPr>
          <w:rFonts w:ascii="Times New Roman" w:eastAsia="標楷體" w:hAnsi="Times New Roman" w:cs="Times New Roman"/>
          <w:w w:val="99"/>
          <w:sz w:val="32"/>
        </w:rPr>
        <w:t>（</w:t>
      </w:r>
      <w:proofErr w:type="gramEnd"/>
      <w:r w:rsidRPr="00DF7EE9">
        <w:rPr>
          <w:rFonts w:ascii="Times New Roman" w:eastAsia="標楷體" w:hAnsi="Times New Roman" w:cs="Times New Roman"/>
          <w:spacing w:val="-1"/>
          <w:sz w:val="28"/>
        </w:rPr>
        <w:t>符合項目請在</w:t>
      </w:r>
      <w:r w:rsidRPr="00DF7EE9">
        <w:rPr>
          <w:rFonts w:ascii="Times New Roman" w:eastAsia="標楷體" w:hAnsi="Times New Roman" w:cs="Times New Roman"/>
          <w:spacing w:val="-2"/>
          <w:sz w:val="36"/>
        </w:rPr>
        <w:t></w:t>
      </w:r>
      <w:r w:rsidRPr="00DF7EE9">
        <w:rPr>
          <w:rFonts w:ascii="Times New Roman" w:eastAsia="標楷體" w:hAnsi="Times New Roman" w:cs="Times New Roman"/>
          <w:sz w:val="28"/>
        </w:rPr>
        <w:t>內打勾</w:t>
      </w:r>
      <w:r w:rsidRPr="00DF7EE9">
        <w:rPr>
          <w:rFonts w:ascii="Times New Roman" w:eastAsia="標楷體" w:hAnsi="Times New Roman" w:cs="Times New Roman"/>
          <w:spacing w:val="2"/>
          <w:w w:val="99"/>
          <w:sz w:val="32"/>
        </w:rPr>
        <w:t>（</w:t>
      </w:r>
      <w:r w:rsidRPr="00DF7EE9">
        <w:rPr>
          <w:rFonts w:ascii="Times New Roman" w:eastAsia="標楷體" w:hAnsi="Times New Roman" w:cs="Times New Roman"/>
          <w:spacing w:val="-2"/>
          <w:w w:val="99"/>
          <w:sz w:val="32"/>
        </w:rPr>
        <w:t></w:t>
      </w:r>
      <w:r w:rsidRPr="00DF7EE9">
        <w:rPr>
          <w:rFonts w:ascii="Times New Roman" w:eastAsia="標楷體" w:hAnsi="Times New Roman" w:cs="Times New Roman"/>
          <w:spacing w:val="-161"/>
          <w:w w:val="99"/>
          <w:sz w:val="32"/>
        </w:rPr>
        <w:t>））</w:t>
      </w:r>
    </w:p>
    <w:p w:rsidR="006800ED" w:rsidRPr="00DF7EE9" w:rsidRDefault="006800ED">
      <w:pPr>
        <w:pStyle w:val="a3"/>
        <w:spacing w:before="8"/>
        <w:ind w:left="0"/>
        <w:rPr>
          <w:rFonts w:ascii="Times New Roman" w:eastAsia="標楷體" w:hAnsi="Times New Roman" w:cs="Times New Roman"/>
          <w:sz w:val="7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2629"/>
      </w:tblGrid>
      <w:tr w:rsidR="006800ED" w:rsidRPr="00DF7EE9">
        <w:trPr>
          <w:trHeight w:val="720"/>
        </w:trPr>
        <w:tc>
          <w:tcPr>
            <w:tcW w:w="6241" w:type="dxa"/>
          </w:tcPr>
          <w:p w:rsidR="006800ED" w:rsidRPr="00DF7EE9" w:rsidRDefault="00201340">
            <w:pPr>
              <w:pStyle w:val="TableParagraph"/>
              <w:spacing w:before="166"/>
              <w:ind w:left="527"/>
              <w:rPr>
                <w:rFonts w:ascii="Times New Roman" w:eastAsia="標楷體" w:hAnsi="Times New Roman" w:cs="Times New Roman"/>
                <w:sz w:val="28"/>
              </w:rPr>
            </w:pPr>
            <w:r w:rsidRPr="00DF7EE9">
              <w:rPr>
                <w:rFonts w:ascii="Times New Roman" w:eastAsia="標楷體" w:hAnsi="Times New Roman" w:cs="Times New Roman"/>
                <w:sz w:val="28"/>
              </w:rPr>
              <w:t>檢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>查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>項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spacing w:before="166"/>
              <w:ind w:left="734" w:right="72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F7EE9">
              <w:rPr>
                <w:rFonts w:ascii="Times New Roman" w:eastAsia="標楷體" w:hAnsi="Times New Roman" w:cs="Times New Roman"/>
                <w:sz w:val="28"/>
              </w:rPr>
              <w:t>升等教師</w:t>
            </w:r>
          </w:p>
        </w:tc>
      </w:tr>
      <w:tr w:rsidR="006800ED" w:rsidRPr="00DF7EE9">
        <w:trPr>
          <w:trHeight w:val="722"/>
        </w:trPr>
        <w:tc>
          <w:tcPr>
            <w:tcW w:w="6241" w:type="dxa"/>
          </w:tcPr>
          <w:p w:rsidR="006800ED" w:rsidRPr="00DF7EE9" w:rsidRDefault="00201340">
            <w:pPr>
              <w:pStyle w:val="TableParagraph"/>
              <w:spacing w:before="76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DF7EE9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>符合升等系所研究成果『最低門檻』規定</w:t>
            </w: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spacing w:before="89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>
        <w:trPr>
          <w:trHeight w:val="719"/>
        </w:trPr>
        <w:tc>
          <w:tcPr>
            <w:tcW w:w="6241" w:type="dxa"/>
          </w:tcPr>
          <w:p w:rsidR="006800ED" w:rsidRPr="00DF7EE9" w:rsidRDefault="00201340">
            <w:pPr>
              <w:pStyle w:val="TableParagraph"/>
              <w:spacing w:before="73"/>
              <w:ind w:left="107" w:right="-58"/>
              <w:rPr>
                <w:rFonts w:ascii="Times New Roman" w:eastAsia="標楷體" w:hAnsi="Times New Roman" w:cs="Times New Roman"/>
                <w:sz w:val="28"/>
              </w:rPr>
            </w:pPr>
            <w:r w:rsidRPr="00DF7EE9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DF7EE9">
              <w:rPr>
                <w:rFonts w:ascii="Times New Roman" w:eastAsia="標楷體" w:hAnsi="Times New Roman" w:cs="Times New Roman"/>
                <w:spacing w:val="-3"/>
                <w:sz w:val="28"/>
              </w:rPr>
              <w:t>.</w:t>
            </w:r>
            <w:r w:rsidRPr="00DF7EE9">
              <w:rPr>
                <w:rFonts w:ascii="Times New Roman" w:eastAsia="標楷體" w:hAnsi="Times New Roman" w:cs="Times New Roman"/>
                <w:spacing w:val="-3"/>
                <w:sz w:val="28"/>
              </w:rPr>
              <w:t>升等申請人為代表著作『</w:t>
            </w:r>
            <w:r w:rsidRPr="00DF7EE9">
              <w:rPr>
                <w:rFonts w:ascii="Times New Roman" w:eastAsia="標楷體" w:hAnsi="Times New Roman" w:cs="Times New Roman"/>
                <w:spacing w:val="-1"/>
                <w:sz w:val="28"/>
              </w:rPr>
              <w:t>第一作者或通訊作者</w:t>
            </w:r>
            <w:r w:rsidRPr="00DF7EE9">
              <w:rPr>
                <w:rFonts w:ascii="Times New Roman" w:eastAsia="標楷體" w:hAnsi="Times New Roman" w:cs="Times New Roman"/>
                <w:sz w:val="28"/>
              </w:rPr>
              <w:t>』</w:t>
            </w: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>
        <w:trPr>
          <w:trHeight w:val="719"/>
        </w:trPr>
        <w:tc>
          <w:tcPr>
            <w:tcW w:w="6241" w:type="dxa"/>
          </w:tcPr>
          <w:p w:rsidR="006800ED" w:rsidRPr="009161E4" w:rsidRDefault="00201340" w:rsidP="00F01390">
            <w:pPr>
              <w:pStyle w:val="TableParagraph"/>
              <w:spacing w:before="73"/>
              <w:ind w:left="107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F01390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="00F01390" w:rsidRPr="00DF7EE9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Start"/>
            <w:r w:rsidR="00F01390" w:rsidRPr="00DF7EE9">
              <w:rPr>
                <w:rFonts w:ascii="Times New Roman" w:eastAsia="標楷體" w:hAnsi="Times New Roman" w:cs="Times New Roman"/>
                <w:sz w:val="28"/>
              </w:rPr>
              <w:t>欄表格式</w:t>
            </w:r>
            <w:proofErr w:type="gramEnd"/>
            <w:r w:rsidR="00F01390" w:rsidRPr="00DF7EE9">
              <w:rPr>
                <w:rFonts w:ascii="Times New Roman" w:eastAsia="標楷體" w:hAnsi="Times New Roman" w:cs="Times New Roman"/>
                <w:sz w:val="28"/>
              </w:rPr>
              <w:t>及內容均正確、完整</w:t>
            </w: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>
        <w:trPr>
          <w:trHeight w:val="719"/>
        </w:trPr>
        <w:tc>
          <w:tcPr>
            <w:tcW w:w="6241" w:type="dxa"/>
          </w:tcPr>
          <w:p w:rsidR="006800ED" w:rsidRPr="00DF7EE9" w:rsidRDefault="00201340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DF7EE9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="00F01390" w:rsidRPr="00DF7EE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F01390" w:rsidRPr="00DF7EE9">
              <w:rPr>
                <w:rFonts w:ascii="Times New Roman" w:eastAsia="標楷體" w:hAnsi="Times New Roman" w:cs="Times New Roman"/>
                <w:sz w:val="28"/>
              </w:rPr>
              <w:t>提升等年資符合規定</w:t>
            </w: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>
        <w:trPr>
          <w:trHeight w:val="720"/>
        </w:trPr>
        <w:tc>
          <w:tcPr>
            <w:tcW w:w="6241" w:type="dxa"/>
          </w:tcPr>
          <w:p w:rsidR="006800ED" w:rsidRPr="00DF7EE9" w:rsidRDefault="00201340" w:rsidP="00F01390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DF7EE9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="00F01390" w:rsidRPr="00DF7EE9">
              <w:rPr>
                <w:rFonts w:ascii="Times New Roman" w:eastAsia="標楷體" w:hAnsi="Times New Roman" w:cs="Times New Roman"/>
                <w:sz w:val="28"/>
              </w:rPr>
              <w:t>符合系所、院及校其他升等之規定</w:t>
            </w: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>
        <w:trPr>
          <w:trHeight w:val="722"/>
        </w:trPr>
        <w:tc>
          <w:tcPr>
            <w:tcW w:w="6241" w:type="dxa"/>
          </w:tcPr>
          <w:p w:rsidR="006800ED" w:rsidRPr="00DF7EE9" w:rsidRDefault="006800ED" w:rsidP="00F01390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</w:tbl>
    <w:p w:rsidR="006800ED" w:rsidRPr="00DF7EE9" w:rsidRDefault="00201340">
      <w:pPr>
        <w:pStyle w:val="1"/>
        <w:spacing w:before="160"/>
        <w:rPr>
          <w:rFonts w:ascii="Times New Roman" w:eastAsia="標楷體" w:hAnsi="Times New Roman" w:cs="Times New Roman"/>
          <w:b w:val="0"/>
          <w:u w:val="none"/>
        </w:rPr>
      </w:pPr>
      <w:r w:rsidRPr="00DF7EE9">
        <w:rPr>
          <w:rFonts w:ascii="Times New Roman" w:eastAsia="標楷體" w:hAnsi="Times New Roman" w:cs="Times New Roman"/>
          <w:b w:val="0"/>
          <w:u w:val="none"/>
        </w:rPr>
        <w:t>以上經確認無誤，如遭退件將自行負責。</w:t>
      </w:r>
    </w:p>
    <w:p w:rsidR="006800ED" w:rsidRPr="00465A1B" w:rsidRDefault="00201340">
      <w:pPr>
        <w:tabs>
          <w:tab w:val="left" w:pos="9622"/>
          <w:tab w:val="left" w:pos="9829"/>
        </w:tabs>
        <w:spacing w:before="92" w:line="336" w:lineRule="auto"/>
        <w:ind w:left="3393" w:right="415" w:firstLine="909"/>
        <w:rPr>
          <w:rFonts w:ascii="Times New Roman" w:eastAsia="標楷體" w:hAnsi="Times New Roman" w:cs="Times New Roman"/>
          <w:b/>
          <w:sz w:val="28"/>
        </w:rPr>
      </w:pPr>
      <w:r w:rsidRPr="00DF7EE9">
        <w:rPr>
          <w:rFonts w:ascii="Times New Roman" w:eastAsia="標楷體" w:hAnsi="Times New Roman" w:cs="Times New Roman"/>
          <w:sz w:val="28"/>
        </w:rPr>
        <w:t>升</w:t>
      </w:r>
      <w:r w:rsidRPr="00DF7EE9">
        <w:rPr>
          <w:rFonts w:ascii="Times New Roman" w:eastAsia="標楷體" w:hAnsi="Times New Roman" w:cs="Times New Roman"/>
          <w:spacing w:val="-3"/>
          <w:sz w:val="28"/>
        </w:rPr>
        <w:t>等</w:t>
      </w:r>
      <w:r w:rsidRPr="00DF7EE9">
        <w:rPr>
          <w:rFonts w:ascii="Times New Roman" w:eastAsia="標楷體" w:hAnsi="Times New Roman" w:cs="Times New Roman"/>
          <w:sz w:val="28"/>
        </w:rPr>
        <w:t>申請人簽</w:t>
      </w:r>
      <w:r w:rsidRPr="00DF7EE9">
        <w:rPr>
          <w:rFonts w:ascii="Times New Roman" w:eastAsia="標楷體" w:hAnsi="Times New Roman" w:cs="Times New Roman"/>
          <w:spacing w:val="-3"/>
          <w:sz w:val="28"/>
        </w:rPr>
        <w:t>章</w:t>
      </w:r>
      <w:r w:rsidRPr="00DF7EE9">
        <w:rPr>
          <w:rFonts w:ascii="Times New Roman" w:eastAsia="標楷體" w:hAnsi="Times New Roman" w:cs="Times New Roman"/>
          <w:sz w:val="28"/>
        </w:rPr>
        <w:t>：</w:t>
      </w:r>
      <w:r w:rsidRPr="00DF7EE9">
        <w:rPr>
          <w:rFonts w:ascii="Times New Roman" w:eastAsia="標楷體" w:hAnsi="Times New Roman" w:cs="Times New Roman"/>
          <w:sz w:val="28"/>
        </w:rPr>
        <w:tab/>
      </w:r>
      <w:r w:rsidRPr="00DF7EE9">
        <w:rPr>
          <w:rFonts w:ascii="Times New Roman" w:eastAsia="標楷體" w:hAnsi="Times New Roman" w:cs="Times New Roman"/>
          <w:sz w:val="28"/>
        </w:rPr>
        <w:tab/>
        <w:t xml:space="preserve">                                           </w:t>
      </w:r>
      <w:r w:rsidRPr="00DF7EE9">
        <w:rPr>
          <w:rFonts w:ascii="Times New Roman" w:eastAsia="標楷體" w:hAnsi="Times New Roman" w:cs="Times New Roman"/>
          <w:sz w:val="28"/>
        </w:rPr>
        <w:t>系所教評</w:t>
      </w:r>
      <w:r w:rsidRPr="00DF7EE9">
        <w:rPr>
          <w:rFonts w:ascii="Times New Roman" w:eastAsia="標楷體" w:hAnsi="Times New Roman" w:cs="Times New Roman"/>
          <w:spacing w:val="-3"/>
          <w:sz w:val="28"/>
        </w:rPr>
        <w:t>會</w:t>
      </w:r>
      <w:r w:rsidRPr="00DF7EE9">
        <w:rPr>
          <w:rFonts w:ascii="Times New Roman" w:eastAsia="標楷體" w:hAnsi="Times New Roman" w:cs="Times New Roman"/>
          <w:sz w:val="28"/>
        </w:rPr>
        <w:t>召集</w:t>
      </w:r>
      <w:r w:rsidRPr="00DF7EE9">
        <w:rPr>
          <w:rFonts w:ascii="Times New Roman" w:eastAsia="標楷體" w:hAnsi="Times New Roman" w:cs="Times New Roman"/>
          <w:spacing w:val="-3"/>
          <w:sz w:val="28"/>
        </w:rPr>
        <w:t>人</w:t>
      </w:r>
      <w:r w:rsidRPr="00DF7EE9">
        <w:rPr>
          <w:rFonts w:ascii="Times New Roman" w:eastAsia="標楷體" w:hAnsi="Times New Roman" w:cs="Times New Roman"/>
          <w:sz w:val="28"/>
        </w:rPr>
        <w:t>簽章：</w:t>
      </w:r>
      <w:r w:rsidRPr="00DF7EE9">
        <w:rPr>
          <w:rFonts w:ascii="Times New Roman" w:eastAsia="標楷體" w:hAnsi="Times New Roman" w:cs="Times New Roman"/>
          <w:sz w:val="28"/>
        </w:rPr>
        <w:t xml:space="preserve"> </w:t>
      </w:r>
      <w:r w:rsidRPr="00465A1B">
        <w:rPr>
          <w:rFonts w:ascii="Times New Roman" w:eastAsia="標楷體" w:hAnsi="Times New Roman" w:cs="Times New Roman"/>
          <w:b/>
          <w:sz w:val="28"/>
        </w:rPr>
        <w:tab/>
      </w:r>
    </w:p>
    <w:sectPr w:rsidR="006800ED" w:rsidRPr="00465A1B">
      <w:type w:val="continuous"/>
      <w:pgSz w:w="11910" w:h="16850"/>
      <w:pgMar w:top="600" w:right="8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4B" w:rsidRDefault="00C5234B" w:rsidP="009A19BB">
      <w:r>
        <w:separator/>
      </w:r>
    </w:p>
  </w:endnote>
  <w:endnote w:type="continuationSeparator" w:id="0">
    <w:p w:rsidR="00C5234B" w:rsidRDefault="00C5234B" w:rsidP="009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4B" w:rsidRDefault="00C5234B" w:rsidP="009A19BB">
      <w:r>
        <w:separator/>
      </w:r>
    </w:p>
  </w:footnote>
  <w:footnote w:type="continuationSeparator" w:id="0">
    <w:p w:rsidR="00C5234B" w:rsidRDefault="00C5234B" w:rsidP="009A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5264F"/>
    <w:multiLevelType w:val="hybridMultilevel"/>
    <w:tmpl w:val="03FE6D4A"/>
    <w:lvl w:ilvl="0" w:tplc="04090015">
      <w:start w:val="1"/>
      <w:numFmt w:val="taiwaneseCountingThousand"/>
      <w:lvlText w:val="%1、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ED"/>
    <w:rsid w:val="001723E6"/>
    <w:rsid w:val="00184043"/>
    <w:rsid w:val="00201340"/>
    <w:rsid w:val="002262FE"/>
    <w:rsid w:val="003055B3"/>
    <w:rsid w:val="00384888"/>
    <w:rsid w:val="00451AD3"/>
    <w:rsid w:val="00465A1B"/>
    <w:rsid w:val="00477770"/>
    <w:rsid w:val="004E0A83"/>
    <w:rsid w:val="00507DAF"/>
    <w:rsid w:val="005411FA"/>
    <w:rsid w:val="006800ED"/>
    <w:rsid w:val="00716949"/>
    <w:rsid w:val="007C3EAD"/>
    <w:rsid w:val="009161E4"/>
    <w:rsid w:val="009226D3"/>
    <w:rsid w:val="009232E4"/>
    <w:rsid w:val="00983E10"/>
    <w:rsid w:val="009A19BB"/>
    <w:rsid w:val="009D53B2"/>
    <w:rsid w:val="00B60732"/>
    <w:rsid w:val="00B86558"/>
    <w:rsid w:val="00C5234B"/>
    <w:rsid w:val="00CA46E3"/>
    <w:rsid w:val="00D20B8D"/>
    <w:rsid w:val="00D55B05"/>
    <w:rsid w:val="00DF7EE9"/>
    <w:rsid w:val="00F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42BCB-2019-4B22-A69D-BA5F1C2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92"/>
      <w:ind w:left="380"/>
      <w:outlineLvl w:val="0"/>
    </w:pPr>
    <w:rPr>
      <w:rFonts w:ascii="微軟正黑體" w:eastAsia="微軟正黑體" w:hAnsi="微軟正黑體" w:cs="微軟正黑體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7"/>
      <w:ind w:left="9"/>
    </w:pPr>
  </w:style>
  <w:style w:type="paragraph" w:styleId="a5">
    <w:name w:val="header"/>
    <w:basedOn w:val="a"/>
    <w:link w:val="a6"/>
    <w:uiPriority w:val="99"/>
    <w:unhideWhenUsed/>
    <w:rsid w:val="009A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19B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A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19BB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電機資訊學院各系所審核教師升等資料注意事項</dc:title>
  <dc:creator>lili</dc:creator>
  <cp:lastModifiedBy>li</cp:lastModifiedBy>
  <cp:revision>3</cp:revision>
  <cp:lastPrinted>2018-05-31T07:55:00Z</cp:lastPrinted>
  <dcterms:created xsi:type="dcterms:W3CDTF">2018-10-03T07:14:00Z</dcterms:created>
  <dcterms:modified xsi:type="dcterms:W3CDTF">2020-04-17T12:16:00Z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