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94" w:rsidRPr="00C57502" w:rsidRDefault="008F1EC5" w:rsidP="00AD26F5">
      <w:pPr>
        <w:spacing w:line="494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C57502">
        <w:rPr>
          <w:rFonts w:ascii="Times New Roman" w:eastAsia="標楷體" w:hAnsi="Times New Roman" w:cs="Times New Roman"/>
          <w:b/>
          <w:sz w:val="32"/>
        </w:rPr>
        <w:t>國立中興大學</w:t>
      </w:r>
      <w:r w:rsidRPr="00C57502">
        <w:rPr>
          <w:rFonts w:ascii="Times New Roman" w:eastAsia="標楷體" w:hAnsi="Times New Roman" w:cs="Times New Roman" w:hint="eastAsia"/>
          <w:b/>
          <w:sz w:val="32"/>
        </w:rPr>
        <w:t>電</w:t>
      </w:r>
      <w:r w:rsidR="00C57502" w:rsidRPr="00C57502">
        <w:rPr>
          <w:rFonts w:ascii="Times New Roman" w:eastAsia="標楷體" w:hAnsi="Times New Roman" w:cs="Times New Roman" w:hint="eastAsia"/>
          <w:b/>
          <w:sz w:val="32"/>
        </w:rPr>
        <w:t>機</w:t>
      </w:r>
      <w:r w:rsidRPr="00C57502">
        <w:rPr>
          <w:rFonts w:ascii="Times New Roman" w:eastAsia="標楷體" w:hAnsi="Times New Roman" w:cs="Times New Roman" w:hint="eastAsia"/>
          <w:b/>
          <w:sz w:val="32"/>
        </w:rPr>
        <w:t>資</w:t>
      </w:r>
      <w:r w:rsidR="007A1DFE">
        <w:rPr>
          <w:rFonts w:ascii="Times New Roman" w:eastAsia="標楷體" w:hAnsi="Times New Roman" w:cs="Times New Roman" w:hint="eastAsia"/>
          <w:b/>
          <w:sz w:val="32"/>
        </w:rPr>
        <w:t>訊</w:t>
      </w:r>
      <w:r w:rsidR="002E4493" w:rsidRPr="00C57502">
        <w:rPr>
          <w:rFonts w:ascii="Times New Roman" w:eastAsia="標楷體" w:hAnsi="Times New Roman" w:cs="Times New Roman"/>
          <w:b/>
          <w:sz w:val="32"/>
        </w:rPr>
        <w:t>學院教師升等暨改聘評審標準</w:t>
      </w:r>
    </w:p>
    <w:p w:rsidR="005551DA" w:rsidRDefault="005551DA" w:rsidP="005551DA">
      <w:pPr>
        <w:spacing w:line="205" w:lineRule="exact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107</w:t>
      </w:r>
      <w:r w:rsidRPr="00DD5EA8">
        <w:rPr>
          <w:rFonts w:ascii="Times New Roman" w:eastAsia="標楷體" w:hAnsi="Times New Roman" w:cs="Times New Roman"/>
          <w:spacing w:val="-1"/>
          <w:sz w:val="16"/>
        </w:rPr>
        <w:t>年</w:t>
      </w:r>
      <w:r>
        <w:rPr>
          <w:rFonts w:ascii="Times New Roman" w:eastAsia="標楷體" w:hAnsi="Times New Roman" w:cs="Times New Roman" w:hint="eastAsia"/>
          <w:sz w:val="16"/>
        </w:rPr>
        <w:t>8</w:t>
      </w:r>
      <w:r w:rsidRPr="00DD5EA8">
        <w:rPr>
          <w:rFonts w:ascii="Times New Roman" w:eastAsia="標楷體" w:hAnsi="Times New Roman" w:cs="Times New Roman"/>
          <w:spacing w:val="-1"/>
          <w:sz w:val="16"/>
        </w:rPr>
        <w:t>月</w:t>
      </w:r>
      <w:r>
        <w:rPr>
          <w:rFonts w:ascii="Times New Roman" w:eastAsia="標楷體" w:hAnsi="Times New Roman" w:cs="Times New Roman" w:hint="eastAsia"/>
          <w:spacing w:val="-1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日</w:t>
      </w:r>
      <w:r w:rsidRPr="00DD5EA8">
        <w:rPr>
          <w:rFonts w:ascii="Times New Roman" w:eastAsia="標楷體" w:hAnsi="Times New Roman" w:cs="Times New Roman"/>
          <w:sz w:val="16"/>
        </w:rPr>
        <w:t>院務會議</w:t>
      </w:r>
      <w:r w:rsidR="0002116B">
        <w:rPr>
          <w:rFonts w:ascii="Times New Roman" w:eastAsia="標楷體" w:hAnsi="Times New Roman" w:cs="Times New Roman" w:hint="eastAsia"/>
          <w:sz w:val="16"/>
        </w:rPr>
        <w:t>訂定</w:t>
      </w:r>
      <w:r w:rsidRPr="00DD5EA8">
        <w:rPr>
          <w:rFonts w:ascii="Times New Roman" w:eastAsia="標楷體" w:hAnsi="Times New Roman" w:cs="Times New Roman"/>
          <w:sz w:val="16"/>
        </w:rPr>
        <w:t>通過</w:t>
      </w:r>
    </w:p>
    <w:p w:rsidR="003A74EA" w:rsidRPr="003A74EA" w:rsidRDefault="003A74EA" w:rsidP="008F1EC5">
      <w:pPr>
        <w:spacing w:line="494" w:lineRule="exact"/>
        <w:ind w:left="617"/>
        <w:jc w:val="center"/>
        <w:rPr>
          <w:rFonts w:ascii="Times New Roman" w:eastAsia="標楷體" w:hAnsi="Times New Roman" w:cs="Times New Roman"/>
          <w:b/>
          <w:sz w:val="36"/>
        </w:rPr>
      </w:pPr>
    </w:p>
    <w:p w:rsidR="008F1EC5" w:rsidRPr="008F1EC5" w:rsidRDefault="002E4493" w:rsidP="003A74EA">
      <w:pPr>
        <w:pStyle w:val="a3"/>
        <w:numPr>
          <w:ilvl w:val="0"/>
          <w:numId w:val="1"/>
        </w:numPr>
        <w:ind w:leftChars="100" w:left="1241" w:hanging="1021"/>
        <w:jc w:val="both"/>
        <w:rPr>
          <w:rFonts w:ascii="Times New Roman" w:eastAsia="標楷體" w:hAnsi="Times New Roman" w:cs="Times New Roman"/>
        </w:rPr>
      </w:pPr>
      <w:r w:rsidRPr="008F1EC5">
        <w:rPr>
          <w:rFonts w:ascii="Times New Roman" w:eastAsia="標楷體" w:hAnsi="Times New Roman" w:cs="Times New Roman"/>
          <w:spacing w:val="-14"/>
        </w:rPr>
        <w:t>依「國立中興大學</w:t>
      </w:r>
      <w:r w:rsidR="004E4208">
        <w:rPr>
          <w:rFonts w:ascii="Times New Roman" w:eastAsia="標楷體" w:hAnsi="Times New Roman" w:cs="Times New Roman"/>
          <w:spacing w:val="-14"/>
        </w:rPr>
        <w:t>電機資訊學院</w:t>
      </w:r>
      <w:r w:rsidRPr="008F1EC5">
        <w:rPr>
          <w:rFonts w:ascii="Times New Roman" w:eastAsia="標楷體" w:hAnsi="Times New Roman" w:cs="Times New Roman"/>
          <w:spacing w:val="-14"/>
        </w:rPr>
        <w:t>教師</w:t>
      </w:r>
      <w:proofErr w:type="gramStart"/>
      <w:r w:rsidRPr="008F1EC5">
        <w:rPr>
          <w:rFonts w:ascii="Times New Roman" w:eastAsia="標楷體" w:hAnsi="Times New Roman" w:cs="Times New Roman"/>
          <w:spacing w:val="-14"/>
        </w:rPr>
        <w:t>聘任暨升等</w:t>
      </w:r>
      <w:proofErr w:type="gramEnd"/>
      <w:r w:rsidRPr="008F1EC5">
        <w:rPr>
          <w:rFonts w:ascii="Times New Roman" w:eastAsia="標楷體" w:hAnsi="Times New Roman" w:cs="Times New Roman"/>
          <w:spacing w:val="-14"/>
        </w:rPr>
        <w:t>評審辦法」第十條之規定，訂定「國</w:t>
      </w:r>
      <w:r>
        <w:rPr>
          <w:rFonts w:ascii="Times New Roman" w:eastAsia="標楷體" w:hAnsi="Times New Roman" w:cs="Times New Roman"/>
          <w:spacing w:val="-15"/>
        </w:rPr>
        <w:t>立中興大學</w:t>
      </w:r>
      <w:r w:rsidR="004E4208">
        <w:rPr>
          <w:rFonts w:ascii="Times New Roman" w:eastAsia="標楷體" w:hAnsi="Times New Roman" w:cs="Times New Roman" w:hint="eastAsia"/>
          <w:spacing w:val="-15"/>
        </w:rPr>
        <w:t>電機資訊學院</w:t>
      </w:r>
      <w:r w:rsidRPr="008F1EC5">
        <w:rPr>
          <w:rFonts w:ascii="Times New Roman" w:eastAsia="標楷體" w:hAnsi="Times New Roman" w:cs="Times New Roman"/>
          <w:spacing w:val="-15"/>
        </w:rPr>
        <w:t>教師升</w:t>
      </w:r>
      <w:proofErr w:type="gramStart"/>
      <w:r w:rsidRPr="008F1EC5">
        <w:rPr>
          <w:rFonts w:ascii="Times New Roman" w:eastAsia="標楷體" w:hAnsi="Times New Roman" w:cs="Times New Roman"/>
          <w:spacing w:val="-15"/>
        </w:rPr>
        <w:t>等暨</w:t>
      </w:r>
      <w:proofErr w:type="gramEnd"/>
      <w:r w:rsidRPr="008F1EC5">
        <w:rPr>
          <w:rFonts w:ascii="Times New Roman" w:eastAsia="標楷體" w:hAnsi="Times New Roman" w:cs="Times New Roman"/>
          <w:spacing w:val="-15"/>
        </w:rPr>
        <w:t>改聘評審標準」。</w:t>
      </w:r>
    </w:p>
    <w:p w:rsidR="003A74EA" w:rsidRDefault="002E4493" w:rsidP="003A74EA">
      <w:pPr>
        <w:pStyle w:val="a3"/>
        <w:numPr>
          <w:ilvl w:val="0"/>
          <w:numId w:val="1"/>
        </w:numPr>
        <w:ind w:leftChars="100" w:left="1241" w:hanging="1021"/>
        <w:jc w:val="both"/>
        <w:rPr>
          <w:rFonts w:ascii="Times New Roman" w:eastAsia="標楷體" w:hAnsi="Times New Roman" w:cs="Times New Roman"/>
        </w:rPr>
      </w:pPr>
      <w:r w:rsidRPr="008F1EC5">
        <w:rPr>
          <w:rFonts w:ascii="Times New Roman" w:eastAsia="標楷體" w:hAnsi="Times New Roman" w:cs="Times New Roman"/>
        </w:rPr>
        <w:t>本院教師評審委員會（以下簡稱本會）審查評分依下列標準執行之。</w:t>
      </w:r>
    </w:p>
    <w:p w:rsidR="003A74EA" w:rsidRDefault="00004351" w:rsidP="003A74EA">
      <w:pPr>
        <w:pStyle w:val="a3"/>
        <w:numPr>
          <w:ilvl w:val="0"/>
          <w:numId w:val="5"/>
        </w:numPr>
        <w:ind w:left="1945" w:hanging="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教學之評分上限，教授、</w:t>
      </w:r>
      <w:proofErr w:type="gramStart"/>
      <w:r>
        <w:rPr>
          <w:rFonts w:ascii="Times New Roman" w:eastAsia="標楷體" w:hAnsi="Times New Roman" w:cs="Times New Roman"/>
        </w:rPr>
        <w:t>副教授</w:t>
      </w:r>
      <w:r w:rsidR="002E4493" w:rsidRPr="003A74EA">
        <w:rPr>
          <w:rFonts w:ascii="Times New Roman" w:eastAsia="標楷體" w:hAnsi="Times New Roman" w:cs="Times New Roman"/>
        </w:rPr>
        <w:t>均為三十分</w:t>
      </w:r>
      <w:proofErr w:type="gramEnd"/>
      <w:r w:rsidR="002E4493" w:rsidRPr="003A74EA">
        <w:rPr>
          <w:rFonts w:ascii="Times New Roman" w:eastAsia="標楷體" w:hAnsi="Times New Roman" w:cs="Times New Roman"/>
        </w:rPr>
        <w:t>，評分方式如下：</w:t>
      </w:r>
    </w:p>
    <w:p w:rsidR="003A74EA" w:rsidRDefault="002E4493" w:rsidP="003A74EA">
      <w:pPr>
        <w:pStyle w:val="a3"/>
        <w:ind w:left="1945"/>
        <w:jc w:val="both"/>
        <w:rPr>
          <w:rFonts w:ascii="Times New Roman" w:eastAsia="標楷體" w:hAnsi="Times New Roman" w:cs="Times New Roman"/>
        </w:rPr>
      </w:pPr>
      <w:r w:rsidRPr="003A74EA">
        <w:rPr>
          <w:rFonts w:ascii="Times New Roman" w:eastAsia="標楷體" w:hAnsi="Times New Roman" w:cs="Times New Roman"/>
          <w:spacing w:val="-3"/>
        </w:rPr>
        <w:t>評分項目教授、副教授及助理教授分為任教課程與教學貢獻度及參與</w:t>
      </w:r>
      <w:r w:rsidRPr="003A74EA">
        <w:rPr>
          <w:rFonts w:ascii="Times New Roman" w:eastAsia="標楷體" w:hAnsi="Times New Roman" w:cs="Times New Roman"/>
          <w:spacing w:val="-14"/>
        </w:rPr>
        <w:t>院校核心課程之講授、教材教案、教學評量與改進措施</w:t>
      </w:r>
      <w:r w:rsidRPr="003A74EA">
        <w:rPr>
          <w:rFonts w:ascii="Times New Roman" w:eastAsia="標楷體" w:hAnsi="Times New Roman" w:cs="Times New Roman"/>
          <w:spacing w:val="-14"/>
        </w:rPr>
        <w:t>(</w:t>
      </w:r>
      <w:r w:rsidRPr="003A74EA">
        <w:rPr>
          <w:rFonts w:ascii="Times New Roman" w:eastAsia="標楷體" w:hAnsi="Times New Roman" w:cs="Times New Roman"/>
          <w:spacing w:val="-14"/>
        </w:rPr>
        <w:t>教學歷程與反思</w:t>
      </w:r>
      <w:r w:rsidRPr="003A74EA">
        <w:rPr>
          <w:rFonts w:ascii="Times New Roman" w:eastAsia="標楷體" w:hAnsi="Times New Roman" w:cs="Times New Roman"/>
          <w:spacing w:val="-14"/>
        </w:rPr>
        <w:t>)</w:t>
      </w:r>
      <w:r w:rsidRPr="003A74EA">
        <w:rPr>
          <w:rFonts w:ascii="Times New Roman" w:eastAsia="標楷體" w:hAnsi="Times New Roman" w:cs="Times New Roman"/>
          <w:spacing w:val="-14"/>
        </w:rPr>
        <w:t>等三項；其中任教課程與教學貢獻度及參與院校核心課程之講授滿分為十分、教材教案滿分為十分、教學評量與改進措施</w:t>
      </w:r>
      <w:r w:rsidRPr="003A74EA">
        <w:rPr>
          <w:rFonts w:ascii="Times New Roman" w:eastAsia="標楷體" w:hAnsi="Times New Roman" w:cs="Times New Roman"/>
          <w:spacing w:val="-14"/>
        </w:rPr>
        <w:t>(</w:t>
      </w:r>
      <w:r w:rsidRPr="003A74EA">
        <w:rPr>
          <w:rFonts w:ascii="Times New Roman" w:eastAsia="標楷體" w:hAnsi="Times New Roman" w:cs="Times New Roman"/>
          <w:spacing w:val="-14"/>
        </w:rPr>
        <w:t>教學歷程與反</w:t>
      </w:r>
      <w:r w:rsidRPr="003A74EA">
        <w:rPr>
          <w:rFonts w:ascii="Times New Roman" w:eastAsia="標楷體" w:hAnsi="Times New Roman" w:cs="Times New Roman"/>
          <w:spacing w:val="-6"/>
        </w:rPr>
        <w:t>思</w:t>
      </w:r>
      <w:r w:rsidRPr="003A74EA">
        <w:rPr>
          <w:rFonts w:ascii="Times New Roman" w:eastAsia="標楷體" w:hAnsi="Times New Roman" w:cs="Times New Roman"/>
          <w:spacing w:val="-6"/>
        </w:rPr>
        <w:t>)</w:t>
      </w:r>
      <w:r w:rsidRPr="003A74EA">
        <w:rPr>
          <w:rFonts w:ascii="Times New Roman" w:eastAsia="標楷體" w:hAnsi="Times New Roman" w:cs="Times New Roman"/>
          <w:spacing w:val="-6"/>
        </w:rPr>
        <w:t>滿分為十分</w:t>
      </w:r>
      <w:r w:rsidRPr="003A74EA">
        <w:rPr>
          <w:rFonts w:ascii="Times New Roman" w:eastAsia="標楷體" w:hAnsi="Times New Roman" w:cs="Times New Roman"/>
          <w:spacing w:val="-12"/>
        </w:rPr>
        <w:t>。講師分為協助教學及學生反應兩項；其中協助教學滿</w:t>
      </w:r>
      <w:proofErr w:type="gramStart"/>
      <w:r w:rsidRPr="003A74EA">
        <w:rPr>
          <w:rFonts w:ascii="Times New Roman" w:eastAsia="標楷體" w:hAnsi="Times New Roman" w:cs="Times New Roman"/>
          <w:spacing w:val="-3"/>
        </w:rPr>
        <w:t>分為廿分</w:t>
      </w:r>
      <w:proofErr w:type="gramEnd"/>
      <w:r w:rsidRPr="003A74EA">
        <w:rPr>
          <w:rFonts w:ascii="Times New Roman" w:eastAsia="標楷體" w:hAnsi="Times New Roman" w:cs="Times New Roman"/>
          <w:spacing w:val="-3"/>
        </w:rPr>
        <w:t>，學生反應滿分為十分。上述各項評分由院教評</w:t>
      </w:r>
      <w:proofErr w:type="gramStart"/>
      <w:r w:rsidRPr="003A74EA">
        <w:rPr>
          <w:rFonts w:ascii="Times New Roman" w:eastAsia="標楷體" w:hAnsi="Times New Roman" w:cs="Times New Roman"/>
          <w:spacing w:val="-3"/>
        </w:rPr>
        <w:t>會依系所</w:t>
      </w:r>
      <w:proofErr w:type="gramEnd"/>
      <w:r w:rsidRPr="003A74EA">
        <w:rPr>
          <w:rFonts w:ascii="Times New Roman" w:eastAsia="標楷體" w:hAnsi="Times New Roman" w:cs="Times New Roman"/>
          <w:spacing w:val="-3"/>
        </w:rPr>
        <w:t>教評會所給分數認定與修訂之。</w:t>
      </w:r>
    </w:p>
    <w:p w:rsidR="003A74EA" w:rsidRDefault="00004351" w:rsidP="003A74EA">
      <w:pPr>
        <w:pStyle w:val="a3"/>
        <w:numPr>
          <w:ilvl w:val="0"/>
          <w:numId w:val="5"/>
        </w:numPr>
        <w:ind w:left="1945" w:hanging="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學術著作之評分上限，教授五十分，副教授四十</w:t>
      </w:r>
      <w:r w:rsidR="002E4493" w:rsidRPr="008F1EC5">
        <w:rPr>
          <w:rFonts w:ascii="Times New Roman" w:eastAsia="標楷體" w:hAnsi="Times New Roman" w:cs="Times New Roman"/>
        </w:rPr>
        <w:t>分。評分方式如下：</w:t>
      </w:r>
    </w:p>
    <w:p w:rsidR="003A74EA" w:rsidRDefault="002E4493" w:rsidP="003A74EA">
      <w:pPr>
        <w:pStyle w:val="a3"/>
        <w:numPr>
          <w:ilvl w:val="0"/>
          <w:numId w:val="6"/>
        </w:numPr>
        <w:ind w:left="2546" w:hanging="567"/>
        <w:jc w:val="both"/>
        <w:rPr>
          <w:rFonts w:ascii="Times New Roman" w:eastAsia="標楷體" w:hAnsi="Times New Roman" w:cs="Times New Roman"/>
        </w:rPr>
      </w:pPr>
      <w:r w:rsidRPr="003A74EA">
        <w:rPr>
          <w:rFonts w:ascii="Times New Roman" w:eastAsia="標楷體" w:hAnsi="Times New Roman" w:cs="Times New Roman"/>
          <w:spacing w:val="-7"/>
        </w:rPr>
        <w:t>研究著作之評分項目為內容與水準、創見與貢獻，由院教評會依</w:t>
      </w:r>
      <w:r w:rsidRPr="003A74EA">
        <w:rPr>
          <w:rFonts w:ascii="Times New Roman" w:eastAsia="標楷體" w:hAnsi="Times New Roman" w:cs="Times New Roman"/>
          <w:spacing w:val="-10"/>
        </w:rPr>
        <w:t>外審委員評分認定修訂之，教授滿分為四十五</w:t>
      </w:r>
      <w:r w:rsidR="00004351">
        <w:rPr>
          <w:rFonts w:ascii="Times New Roman" w:eastAsia="標楷體" w:hAnsi="Times New Roman" w:cs="Times New Roman"/>
          <w:spacing w:val="-10"/>
        </w:rPr>
        <w:t>分，副教授</w:t>
      </w:r>
      <w:r w:rsidRPr="003A74EA">
        <w:rPr>
          <w:rFonts w:ascii="Times New Roman" w:eastAsia="標楷體" w:hAnsi="Times New Roman" w:cs="Times New Roman"/>
          <w:spacing w:val="-3"/>
        </w:rPr>
        <w:t>滿分</w:t>
      </w:r>
      <w:r w:rsidR="00004351">
        <w:rPr>
          <w:rFonts w:ascii="Times New Roman" w:eastAsia="標楷體" w:hAnsi="Times New Roman" w:cs="Times New Roman" w:hint="eastAsia"/>
          <w:spacing w:val="-3"/>
        </w:rPr>
        <w:t>三</w:t>
      </w:r>
      <w:r w:rsidRPr="003A74EA">
        <w:rPr>
          <w:rFonts w:ascii="Times New Roman" w:eastAsia="標楷體" w:hAnsi="Times New Roman" w:cs="Times New Roman"/>
          <w:spacing w:val="-3"/>
        </w:rPr>
        <w:t>十</w:t>
      </w:r>
      <w:r w:rsidR="00004351">
        <w:rPr>
          <w:rFonts w:ascii="Times New Roman" w:eastAsia="標楷體" w:hAnsi="Times New Roman" w:cs="Times New Roman" w:hint="eastAsia"/>
          <w:spacing w:val="-3"/>
        </w:rPr>
        <w:t>五</w:t>
      </w:r>
      <w:r w:rsidRPr="003A74EA">
        <w:rPr>
          <w:rFonts w:ascii="Times New Roman" w:eastAsia="標楷體" w:hAnsi="Times New Roman" w:cs="Times New Roman"/>
          <w:spacing w:val="-3"/>
        </w:rPr>
        <w:t>分。</w:t>
      </w:r>
    </w:p>
    <w:p w:rsidR="003A74EA" w:rsidRPr="003A74EA" w:rsidRDefault="002E4493" w:rsidP="003A74EA">
      <w:pPr>
        <w:pStyle w:val="a3"/>
        <w:numPr>
          <w:ilvl w:val="0"/>
          <w:numId w:val="6"/>
        </w:numPr>
        <w:ind w:left="2546" w:hanging="567"/>
        <w:jc w:val="both"/>
        <w:rPr>
          <w:rFonts w:ascii="Times New Roman" w:eastAsia="標楷體" w:hAnsi="Times New Roman" w:cs="Times New Roman"/>
        </w:rPr>
      </w:pPr>
      <w:r w:rsidRPr="003A74EA">
        <w:rPr>
          <w:rFonts w:ascii="Times New Roman" w:eastAsia="標楷體" w:hAnsi="Times New Roman" w:cs="Times New Roman"/>
        </w:rPr>
        <w:t>宣讀表達及應對滿分為五分，由院教評會依論文宣讀情形給分。</w:t>
      </w:r>
    </w:p>
    <w:p w:rsidR="003A74EA" w:rsidRDefault="00004351" w:rsidP="003A74EA">
      <w:pPr>
        <w:pStyle w:val="a3"/>
        <w:numPr>
          <w:ilvl w:val="0"/>
          <w:numId w:val="5"/>
        </w:numPr>
        <w:ind w:left="1945" w:hanging="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服務與合作之評分上限，教授二十分，副教授</w:t>
      </w:r>
      <w:r>
        <w:rPr>
          <w:rFonts w:ascii="Times New Roman" w:eastAsia="標楷體" w:hAnsi="Times New Roman" w:cs="Times New Roman" w:hint="eastAsia"/>
        </w:rPr>
        <w:t>三十</w:t>
      </w:r>
      <w:r w:rsidR="002E4493" w:rsidRPr="003A74EA">
        <w:rPr>
          <w:rFonts w:ascii="Times New Roman" w:eastAsia="標楷體" w:hAnsi="Times New Roman" w:cs="Times New Roman"/>
        </w:rPr>
        <w:t>分。評分方式如下：</w:t>
      </w:r>
    </w:p>
    <w:p w:rsidR="003A74EA" w:rsidRDefault="002E4493" w:rsidP="003A74EA">
      <w:pPr>
        <w:pStyle w:val="a3"/>
        <w:numPr>
          <w:ilvl w:val="0"/>
          <w:numId w:val="8"/>
        </w:numPr>
        <w:ind w:left="2546" w:hanging="567"/>
        <w:jc w:val="both"/>
        <w:rPr>
          <w:rFonts w:ascii="Times New Roman" w:eastAsia="標楷體" w:hAnsi="Times New Roman" w:cs="Times New Roman"/>
          <w:spacing w:val="-7"/>
        </w:rPr>
      </w:pPr>
      <w:r w:rsidRPr="003A74EA">
        <w:rPr>
          <w:rFonts w:ascii="Times New Roman" w:eastAsia="標楷體" w:hAnsi="Times New Roman" w:cs="Times New Roman"/>
          <w:spacing w:val="-7"/>
        </w:rPr>
        <w:t>評分項目分為年資、參與服務、輔導學</w:t>
      </w:r>
      <w:r w:rsidR="00004351">
        <w:rPr>
          <w:rFonts w:ascii="Times New Roman" w:eastAsia="標楷體" w:hAnsi="Times New Roman" w:cs="Times New Roman"/>
          <w:spacing w:val="-7"/>
        </w:rPr>
        <w:t>生、合作情形等四項。升教授者，每項總</w:t>
      </w:r>
      <w:proofErr w:type="gramStart"/>
      <w:r w:rsidR="00004351">
        <w:rPr>
          <w:rFonts w:ascii="Times New Roman" w:eastAsia="標楷體" w:hAnsi="Times New Roman" w:cs="Times New Roman"/>
          <w:spacing w:val="-7"/>
        </w:rPr>
        <w:t>分均為五分</w:t>
      </w:r>
      <w:proofErr w:type="gramEnd"/>
      <w:r w:rsidR="00004351">
        <w:rPr>
          <w:rFonts w:ascii="Times New Roman" w:eastAsia="標楷體" w:hAnsi="Times New Roman" w:cs="Times New Roman"/>
          <w:spacing w:val="-7"/>
        </w:rPr>
        <w:t>。升副教授</w:t>
      </w:r>
      <w:r w:rsidRPr="003A74EA">
        <w:rPr>
          <w:rFonts w:ascii="Times New Roman" w:eastAsia="標楷體" w:hAnsi="Times New Roman" w:cs="Times New Roman"/>
          <w:spacing w:val="-7"/>
        </w:rPr>
        <w:t>，年資、輔導學生、合作情形等三項均為五分，參與服務項為十</w:t>
      </w:r>
      <w:r w:rsidR="00722AA8">
        <w:rPr>
          <w:rFonts w:ascii="Times New Roman" w:eastAsia="標楷體" w:hAnsi="Times New Roman" w:cs="Times New Roman" w:hint="eastAsia"/>
          <w:spacing w:val="-7"/>
        </w:rPr>
        <w:t>五</w:t>
      </w:r>
      <w:r w:rsidRPr="003A74EA">
        <w:rPr>
          <w:rFonts w:ascii="Times New Roman" w:eastAsia="標楷體" w:hAnsi="Times New Roman" w:cs="Times New Roman"/>
          <w:spacing w:val="-7"/>
        </w:rPr>
        <w:t>分。</w:t>
      </w:r>
    </w:p>
    <w:p w:rsidR="008F1EC5" w:rsidRPr="003A74EA" w:rsidRDefault="002E4493" w:rsidP="003A74EA">
      <w:pPr>
        <w:pStyle w:val="a3"/>
        <w:numPr>
          <w:ilvl w:val="0"/>
          <w:numId w:val="8"/>
        </w:numPr>
        <w:ind w:left="2546" w:hanging="567"/>
        <w:jc w:val="both"/>
        <w:rPr>
          <w:rFonts w:ascii="Times New Roman" w:eastAsia="標楷體" w:hAnsi="Times New Roman" w:cs="Times New Roman"/>
          <w:spacing w:val="-7"/>
        </w:rPr>
      </w:pPr>
      <w:r w:rsidRPr="003A74EA">
        <w:rPr>
          <w:rFonts w:ascii="Times New Roman" w:eastAsia="標楷體" w:hAnsi="Times New Roman" w:cs="Times New Roman"/>
          <w:spacing w:val="-9"/>
        </w:rPr>
        <w:t>年資總分五分，每多一年加一分，至多加五分，由人事室簽證認</w:t>
      </w:r>
      <w:r w:rsidRPr="003A74EA">
        <w:rPr>
          <w:rFonts w:ascii="Times New Roman" w:eastAsia="標楷體" w:hAnsi="Times New Roman" w:cs="Times New Roman"/>
          <w:spacing w:val="-3"/>
        </w:rPr>
        <w:t>定之。參與服務、輔導學生、合作情形等三項由本</w:t>
      </w:r>
      <w:proofErr w:type="gramStart"/>
      <w:r w:rsidRPr="003A74EA">
        <w:rPr>
          <w:rFonts w:ascii="Times New Roman" w:eastAsia="標楷體" w:hAnsi="Times New Roman" w:cs="Times New Roman"/>
          <w:spacing w:val="-3"/>
        </w:rPr>
        <w:t>會依系所</w:t>
      </w:r>
      <w:proofErr w:type="gramEnd"/>
      <w:r w:rsidRPr="003A74EA">
        <w:rPr>
          <w:rFonts w:ascii="Times New Roman" w:eastAsia="標楷體" w:hAnsi="Times New Roman" w:cs="Times New Roman"/>
          <w:spacing w:val="-3"/>
        </w:rPr>
        <w:t>教評會所給分數認定與修訂之。</w:t>
      </w:r>
    </w:p>
    <w:p w:rsidR="008F1EC5" w:rsidRPr="008F1EC5" w:rsidRDefault="002E4493" w:rsidP="003A74EA">
      <w:pPr>
        <w:pStyle w:val="a3"/>
        <w:numPr>
          <w:ilvl w:val="0"/>
          <w:numId w:val="1"/>
        </w:numPr>
        <w:ind w:leftChars="100" w:left="1241" w:hanging="1021"/>
        <w:jc w:val="both"/>
        <w:rPr>
          <w:rFonts w:ascii="Times New Roman" w:eastAsia="標楷體" w:hAnsi="Times New Roman" w:cs="Times New Roman"/>
          <w:spacing w:val="-14"/>
        </w:rPr>
      </w:pPr>
      <w:r w:rsidRPr="008F1EC5">
        <w:rPr>
          <w:rFonts w:ascii="Times New Roman" w:eastAsia="標楷體" w:hAnsi="Times New Roman" w:cs="Times New Roman"/>
          <w:spacing w:val="-14"/>
        </w:rPr>
        <w:t>各項目評分方式及</w:t>
      </w:r>
      <w:proofErr w:type="gramStart"/>
      <w:r w:rsidRPr="008F1EC5">
        <w:rPr>
          <w:rFonts w:ascii="Times New Roman" w:eastAsia="標楷體" w:hAnsi="Times New Roman" w:cs="Times New Roman"/>
          <w:spacing w:val="-14"/>
        </w:rPr>
        <w:t>系所院教</w:t>
      </w:r>
      <w:proofErr w:type="gramEnd"/>
      <w:r w:rsidRPr="008F1EC5">
        <w:rPr>
          <w:rFonts w:ascii="Times New Roman" w:eastAsia="標楷體" w:hAnsi="Times New Roman" w:cs="Times New Roman"/>
          <w:spacing w:val="-14"/>
        </w:rPr>
        <w:t>評會評分權限，另以本院「升等教師評審表」</w:t>
      </w:r>
      <w:proofErr w:type="gramStart"/>
      <w:r w:rsidRPr="008F1EC5">
        <w:rPr>
          <w:rFonts w:ascii="Times New Roman" w:eastAsia="標楷體" w:hAnsi="Times New Roman" w:cs="Times New Roman"/>
          <w:spacing w:val="-14"/>
        </w:rPr>
        <w:t>詳訂</w:t>
      </w:r>
      <w:proofErr w:type="gramEnd"/>
      <w:r w:rsidRPr="008F1EC5">
        <w:rPr>
          <w:rFonts w:ascii="Times New Roman" w:eastAsia="標楷體" w:hAnsi="Times New Roman" w:cs="Times New Roman"/>
          <w:spacing w:val="-14"/>
        </w:rPr>
        <w:t>之。</w:t>
      </w:r>
    </w:p>
    <w:p w:rsidR="00672794" w:rsidRPr="008F1EC5" w:rsidRDefault="002E4493" w:rsidP="003A74EA">
      <w:pPr>
        <w:pStyle w:val="a3"/>
        <w:numPr>
          <w:ilvl w:val="0"/>
          <w:numId w:val="1"/>
        </w:numPr>
        <w:ind w:leftChars="100" w:left="1241" w:hanging="1021"/>
        <w:jc w:val="both"/>
        <w:rPr>
          <w:rFonts w:ascii="Times New Roman" w:eastAsia="標楷體" w:hAnsi="Times New Roman" w:cs="Times New Roman"/>
          <w:spacing w:val="-14"/>
        </w:rPr>
      </w:pPr>
      <w:r w:rsidRPr="008F1EC5">
        <w:rPr>
          <w:rFonts w:ascii="Times New Roman" w:eastAsia="標楷體" w:hAnsi="Times New Roman" w:cs="Times New Roman"/>
        </w:rPr>
        <w:lastRenderedPageBreak/>
        <w:t>本辦法經院</w:t>
      </w:r>
      <w:proofErr w:type="gramStart"/>
      <w:r w:rsidRPr="008F1EC5">
        <w:rPr>
          <w:rFonts w:ascii="Times New Roman" w:eastAsia="標楷體" w:hAnsi="Times New Roman" w:cs="Times New Roman"/>
        </w:rPr>
        <w:t>務</w:t>
      </w:r>
      <w:proofErr w:type="gramEnd"/>
      <w:r w:rsidRPr="008F1EC5">
        <w:rPr>
          <w:rFonts w:ascii="Times New Roman" w:eastAsia="標楷體" w:hAnsi="Times New Roman" w:cs="Times New Roman"/>
        </w:rPr>
        <w:t>會議通過</w:t>
      </w:r>
      <w:proofErr w:type="gramStart"/>
      <w:r w:rsidRPr="008F1EC5">
        <w:rPr>
          <w:rFonts w:ascii="Times New Roman" w:eastAsia="標楷體" w:hAnsi="Times New Roman" w:cs="Times New Roman"/>
        </w:rPr>
        <w:t>報校</w:t>
      </w:r>
      <w:proofErr w:type="gramEnd"/>
      <w:r w:rsidRPr="008F1EC5">
        <w:rPr>
          <w:rFonts w:ascii="Times New Roman" w:eastAsia="標楷體" w:hAnsi="Times New Roman" w:cs="Times New Roman"/>
        </w:rPr>
        <w:t>核備後實施，修正時亦同</w:t>
      </w:r>
      <w:r w:rsidRPr="008F1EC5">
        <w:rPr>
          <w:rFonts w:ascii="Times New Roman" w:eastAsia="標楷體" w:hAnsi="Times New Roman" w:cs="Times New Roman"/>
          <w:position w:val="1"/>
          <w:sz w:val="24"/>
        </w:rPr>
        <w:t>。</w:t>
      </w:r>
    </w:p>
    <w:sectPr w:rsidR="00672794" w:rsidRPr="008F1EC5" w:rsidSect="003A74EA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5A" w:rsidRDefault="00D5155A" w:rsidP="00AD26F5">
      <w:r>
        <w:separator/>
      </w:r>
    </w:p>
  </w:endnote>
  <w:endnote w:type="continuationSeparator" w:id="0">
    <w:p w:rsidR="00D5155A" w:rsidRDefault="00D5155A" w:rsidP="00A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5A" w:rsidRDefault="00D5155A" w:rsidP="00AD26F5">
      <w:r>
        <w:separator/>
      </w:r>
    </w:p>
  </w:footnote>
  <w:footnote w:type="continuationSeparator" w:id="0">
    <w:p w:rsidR="00D5155A" w:rsidRDefault="00D5155A" w:rsidP="00AD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004"/>
    <w:multiLevelType w:val="hybridMultilevel"/>
    <w:tmpl w:val="3166903E"/>
    <w:lvl w:ilvl="0" w:tplc="04090019">
      <w:start w:val="1"/>
      <w:numFmt w:val="ideographTraditional"/>
      <w:lvlText w:val="%1、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" w15:restartNumberingAfterBreak="0">
    <w:nsid w:val="193A044C"/>
    <w:multiLevelType w:val="hybridMultilevel"/>
    <w:tmpl w:val="FC06260A"/>
    <w:lvl w:ilvl="0" w:tplc="04090015">
      <w:start w:val="1"/>
      <w:numFmt w:val="taiwaneseCountingThousand"/>
      <w:lvlText w:val="%1、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" w15:restartNumberingAfterBreak="0">
    <w:nsid w:val="1F1B137A"/>
    <w:multiLevelType w:val="hybridMultilevel"/>
    <w:tmpl w:val="054A29E6"/>
    <w:lvl w:ilvl="0" w:tplc="1F46335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21C25F9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1C25F96">
      <w:start w:val="1"/>
      <w:numFmt w:val="taiwaneseCountingThousand"/>
      <w:lvlText w:val="%4、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B95769"/>
    <w:multiLevelType w:val="hybridMultilevel"/>
    <w:tmpl w:val="50ECFB68"/>
    <w:lvl w:ilvl="0" w:tplc="21C25F96">
      <w:start w:val="1"/>
      <w:numFmt w:val="taiwaneseCountingThousand"/>
      <w:lvlText w:val="%1、"/>
      <w:lvlJc w:val="left"/>
      <w:pPr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43F54E7C"/>
    <w:multiLevelType w:val="hybridMultilevel"/>
    <w:tmpl w:val="68C83D2E"/>
    <w:lvl w:ilvl="0" w:tplc="04090019">
      <w:start w:val="1"/>
      <w:numFmt w:val="ideographTraditional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4E9F0071"/>
    <w:multiLevelType w:val="hybridMultilevel"/>
    <w:tmpl w:val="3166903E"/>
    <w:lvl w:ilvl="0" w:tplc="04090019">
      <w:start w:val="1"/>
      <w:numFmt w:val="ideographTraditional"/>
      <w:lvlText w:val="%1、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6" w15:restartNumberingAfterBreak="0">
    <w:nsid w:val="55F30BCF"/>
    <w:multiLevelType w:val="hybridMultilevel"/>
    <w:tmpl w:val="47B66C16"/>
    <w:lvl w:ilvl="0" w:tplc="1F463356">
      <w:start w:val="1"/>
      <w:numFmt w:val="taiwaneseCountingThousand"/>
      <w:lvlText w:val="第%1條"/>
      <w:lvlJc w:val="left"/>
      <w:pPr>
        <w:ind w:left="2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94" w:hanging="480"/>
      </w:pPr>
    </w:lvl>
    <w:lvl w:ilvl="2" w:tplc="0409001B" w:tentative="1">
      <w:start w:val="1"/>
      <w:numFmt w:val="lowerRoman"/>
      <w:lvlText w:val="%3."/>
      <w:lvlJc w:val="right"/>
      <w:pPr>
        <w:ind w:left="3574" w:hanging="480"/>
      </w:pPr>
    </w:lvl>
    <w:lvl w:ilvl="3" w:tplc="0409000F" w:tentative="1">
      <w:start w:val="1"/>
      <w:numFmt w:val="decimal"/>
      <w:lvlText w:val="%4."/>
      <w:lvlJc w:val="left"/>
      <w:pPr>
        <w:ind w:left="4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4" w:hanging="480"/>
      </w:pPr>
    </w:lvl>
    <w:lvl w:ilvl="5" w:tplc="0409001B" w:tentative="1">
      <w:start w:val="1"/>
      <w:numFmt w:val="lowerRoman"/>
      <w:lvlText w:val="%6."/>
      <w:lvlJc w:val="right"/>
      <w:pPr>
        <w:ind w:left="5014" w:hanging="480"/>
      </w:pPr>
    </w:lvl>
    <w:lvl w:ilvl="6" w:tplc="0409000F" w:tentative="1">
      <w:start w:val="1"/>
      <w:numFmt w:val="decimal"/>
      <w:lvlText w:val="%7."/>
      <w:lvlJc w:val="left"/>
      <w:pPr>
        <w:ind w:left="5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4" w:hanging="480"/>
      </w:pPr>
    </w:lvl>
    <w:lvl w:ilvl="8" w:tplc="0409001B" w:tentative="1">
      <w:start w:val="1"/>
      <w:numFmt w:val="lowerRoman"/>
      <w:lvlText w:val="%9."/>
      <w:lvlJc w:val="right"/>
      <w:pPr>
        <w:ind w:left="6454" w:hanging="480"/>
      </w:pPr>
    </w:lvl>
  </w:abstractNum>
  <w:abstractNum w:abstractNumId="7" w15:restartNumberingAfterBreak="0">
    <w:nsid w:val="5F76724C"/>
    <w:multiLevelType w:val="hybridMultilevel"/>
    <w:tmpl w:val="5B2C43B2"/>
    <w:lvl w:ilvl="0" w:tplc="04090019">
      <w:start w:val="1"/>
      <w:numFmt w:val="ideographTraditional"/>
      <w:lvlText w:val="%1、"/>
      <w:lvlJc w:val="left"/>
      <w:pPr>
        <w:ind w:left="2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05" w:hanging="480"/>
      </w:pPr>
    </w:lvl>
    <w:lvl w:ilvl="2" w:tplc="0409001B" w:tentative="1">
      <w:start w:val="1"/>
      <w:numFmt w:val="lowerRoman"/>
      <w:lvlText w:val="%3."/>
      <w:lvlJc w:val="right"/>
      <w:pPr>
        <w:ind w:left="3385" w:hanging="480"/>
      </w:pPr>
    </w:lvl>
    <w:lvl w:ilvl="3" w:tplc="0409000F" w:tentative="1">
      <w:start w:val="1"/>
      <w:numFmt w:val="decimal"/>
      <w:lvlText w:val="%4."/>
      <w:lvlJc w:val="left"/>
      <w:pPr>
        <w:ind w:left="3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5" w:hanging="480"/>
      </w:pPr>
    </w:lvl>
    <w:lvl w:ilvl="5" w:tplc="0409001B" w:tentative="1">
      <w:start w:val="1"/>
      <w:numFmt w:val="lowerRoman"/>
      <w:lvlText w:val="%6."/>
      <w:lvlJc w:val="right"/>
      <w:pPr>
        <w:ind w:left="4825" w:hanging="480"/>
      </w:pPr>
    </w:lvl>
    <w:lvl w:ilvl="6" w:tplc="0409000F" w:tentative="1">
      <w:start w:val="1"/>
      <w:numFmt w:val="decimal"/>
      <w:lvlText w:val="%7."/>
      <w:lvlJc w:val="left"/>
      <w:pPr>
        <w:ind w:left="5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5" w:hanging="480"/>
      </w:pPr>
    </w:lvl>
    <w:lvl w:ilvl="8" w:tplc="0409001B" w:tentative="1">
      <w:start w:val="1"/>
      <w:numFmt w:val="lowerRoman"/>
      <w:lvlText w:val="%9."/>
      <w:lvlJc w:val="right"/>
      <w:pPr>
        <w:ind w:left="6265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94"/>
    <w:rsid w:val="00004351"/>
    <w:rsid w:val="0002116B"/>
    <w:rsid w:val="00174796"/>
    <w:rsid w:val="002960EA"/>
    <w:rsid w:val="002E4493"/>
    <w:rsid w:val="003A74EA"/>
    <w:rsid w:val="003B2D90"/>
    <w:rsid w:val="00410F4B"/>
    <w:rsid w:val="004E4208"/>
    <w:rsid w:val="005551DA"/>
    <w:rsid w:val="00672794"/>
    <w:rsid w:val="006D3D72"/>
    <w:rsid w:val="00722AA8"/>
    <w:rsid w:val="007417AD"/>
    <w:rsid w:val="007A1DFE"/>
    <w:rsid w:val="008F1EC5"/>
    <w:rsid w:val="00AD26F5"/>
    <w:rsid w:val="00C57502"/>
    <w:rsid w:val="00D5155A"/>
    <w:rsid w:val="00D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361C5-4F05-485E-AE67-F3AE8A5E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6F5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AD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6F5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3A5B-C7A4-40ED-B88C-710BAABA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電機資訊學院教師升等暨改聘評審標準</dc:title>
  <dc:creator/>
  <cp:lastModifiedBy>li</cp:lastModifiedBy>
  <cp:revision>11</cp:revision>
  <dcterms:created xsi:type="dcterms:W3CDTF">2018-06-01T09:09:00Z</dcterms:created>
  <dcterms:modified xsi:type="dcterms:W3CDTF">2020-04-17T12:21:00Z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2018-06-01T00:00:00Z</vt:filetime>
  </property>
</Properties>
</file>